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63F1" w14:textId="4DCA9C97" w:rsidR="004A3D8E" w:rsidRDefault="00A7389D" w:rsidP="00A7389D">
      <w:pPr>
        <w:pStyle w:val="paragraph"/>
        <w:textAlignment w:val="baseline"/>
        <w:rPr>
          <w:rStyle w:val="normaltextrun"/>
          <w:b/>
          <w:bCs/>
          <w:lang w:val="en-GB"/>
        </w:rPr>
      </w:pPr>
      <w:r>
        <w:rPr>
          <w:rStyle w:val="normaltextrun"/>
          <w:b/>
          <w:bCs/>
          <w:lang w:val="en-GB"/>
        </w:rPr>
        <w:t xml:space="preserve">Course title: </w:t>
      </w:r>
      <w:r w:rsidRPr="00A7389D">
        <w:rPr>
          <w:rStyle w:val="normaltextrun"/>
          <w:lang w:val="en-GB"/>
        </w:rPr>
        <w:t>Public Choice</w:t>
      </w:r>
      <w:r w:rsidR="00473B4C">
        <w:rPr>
          <w:rStyle w:val="normaltextrun"/>
          <w:lang w:val="en-GB"/>
        </w:rPr>
        <w:t>: Theory and Empirics</w:t>
      </w:r>
    </w:p>
    <w:p w14:paraId="5C7FECAA" w14:textId="3381D76F" w:rsidR="004A3D8E" w:rsidRPr="00A7389D" w:rsidRDefault="007D7DA4" w:rsidP="007D7DA4">
      <w:pPr>
        <w:pStyle w:val="paragraph"/>
        <w:textAlignment w:val="baseline"/>
      </w:pPr>
      <w:r w:rsidRPr="1E25930D">
        <w:rPr>
          <w:rStyle w:val="normaltextrun"/>
          <w:b/>
          <w:bCs/>
          <w:lang w:val="en-GB"/>
        </w:rPr>
        <w:t>Course code</w:t>
      </w:r>
      <w:r w:rsidR="007810A7" w:rsidRPr="1E25930D">
        <w:rPr>
          <w:rStyle w:val="normaltextrun"/>
          <w:b/>
          <w:bCs/>
          <w:lang w:val="en-GB"/>
        </w:rPr>
        <w:t>:</w:t>
      </w:r>
      <w:r w:rsidR="00A7389D">
        <w:rPr>
          <w:rStyle w:val="normaltextrun"/>
          <w:b/>
          <w:bCs/>
          <w:lang w:val="en-GB"/>
        </w:rPr>
        <w:t xml:space="preserve"> </w:t>
      </w:r>
      <w:r w:rsidR="00A7389D" w:rsidRPr="00A7389D">
        <w:rPr>
          <w:rStyle w:val="normaltextrun"/>
          <w:lang w:val="en-GB"/>
        </w:rPr>
        <w:t>DOPP 5676</w:t>
      </w:r>
    </w:p>
    <w:p w14:paraId="32A726FA" w14:textId="3E22E6E7" w:rsidR="004A3D8E" w:rsidRDefault="004A3D8E" w:rsidP="004A3D8E">
      <w:pPr>
        <w:pStyle w:val="paragraph"/>
        <w:textAlignment w:val="baseline"/>
      </w:pPr>
      <w:r w:rsidRPr="1E25930D">
        <w:rPr>
          <w:rStyle w:val="normaltextrun"/>
          <w:b/>
          <w:bCs/>
          <w:lang w:val="en-GB"/>
        </w:rPr>
        <w:t>Lecturer or Instructor</w:t>
      </w:r>
      <w:r w:rsidR="007D7DA4" w:rsidRPr="1E25930D">
        <w:rPr>
          <w:rStyle w:val="normaltextrun"/>
          <w:b/>
          <w:bCs/>
          <w:lang w:val="en-GB"/>
        </w:rPr>
        <w:t>:</w:t>
      </w:r>
      <w:r w:rsidR="00A7389D">
        <w:rPr>
          <w:rStyle w:val="normaltextrun"/>
          <w:b/>
          <w:bCs/>
          <w:lang w:val="en-GB"/>
        </w:rPr>
        <w:t xml:space="preserve"> </w:t>
      </w:r>
      <w:r w:rsidR="00A7389D" w:rsidRPr="00A7389D">
        <w:rPr>
          <w:rStyle w:val="normaltextrun"/>
          <w:lang w:val="en-GB"/>
        </w:rPr>
        <w:t>Prof. Dr. Monika Köppl-Turyna</w:t>
      </w:r>
    </w:p>
    <w:p w14:paraId="777BCEE3" w14:textId="5D16FFC8" w:rsidR="004A3D8E" w:rsidRDefault="004A3D8E" w:rsidP="004A3D8E">
      <w:pPr>
        <w:pStyle w:val="paragraph"/>
        <w:textAlignment w:val="baseline"/>
      </w:pPr>
      <w:r w:rsidRPr="1E25930D">
        <w:rPr>
          <w:rStyle w:val="normaltextrun"/>
          <w:b/>
          <w:bCs/>
          <w:lang w:val="en-GB"/>
        </w:rPr>
        <w:t>No. of credits (US/ECTS)</w:t>
      </w:r>
      <w:r w:rsidR="007D7DA4" w:rsidRPr="1E25930D">
        <w:rPr>
          <w:rStyle w:val="normaltextrun"/>
          <w:b/>
          <w:bCs/>
          <w:lang w:val="en-GB"/>
        </w:rPr>
        <w:t>:</w:t>
      </w:r>
      <w:r w:rsidR="00A7389D">
        <w:rPr>
          <w:rStyle w:val="normaltextrun"/>
          <w:b/>
          <w:bCs/>
          <w:lang w:val="en-GB"/>
        </w:rPr>
        <w:t xml:space="preserve"> </w:t>
      </w:r>
      <w:r w:rsidR="00A7389D" w:rsidRPr="00A7389D">
        <w:rPr>
          <w:rStyle w:val="normaltextrun"/>
          <w:lang w:val="en-GB"/>
        </w:rPr>
        <w:t>2 credits (4 ECTS)</w:t>
      </w:r>
    </w:p>
    <w:p w14:paraId="5DA514BC" w14:textId="63D65396" w:rsidR="004A3D8E" w:rsidRDefault="004A3D8E" w:rsidP="004A3D8E">
      <w:pPr>
        <w:pStyle w:val="paragraph"/>
        <w:textAlignment w:val="baseline"/>
      </w:pPr>
      <w:r w:rsidRPr="1E25930D">
        <w:rPr>
          <w:rStyle w:val="normaltextrun"/>
          <w:b/>
          <w:bCs/>
          <w:lang w:val="en-GB"/>
        </w:rPr>
        <w:t>Academic year and term (fall/winter/spring)</w:t>
      </w:r>
      <w:r w:rsidR="007D7DA4" w:rsidRPr="1E25930D">
        <w:rPr>
          <w:rStyle w:val="normaltextrun"/>
          <w:b/>
          <w:bCs/>
          <w:lang w:val="en-GB"/>
        </w:rPr>
        <w:t>:</w:t>
      </w:r>
      <w:r w:rsidR="00A7389D">
        <w:rPr>
          <w:rStyle w:val="normaltextrun"/>
          <w:b/>
          <w:bCs/>
          <w:lang w:val="en-GB"/>
        </w:rPr>
        <w:t xml:space="preserve"> </w:t>
      </w:r>
      <w:r w:rsidR="00A7389D" w:rsidRPr="00F37D55">
        <w:rPr>
          <w:rStyle w:val="normaltextrun"/>
          <w:lang w:val="en-GB"/>
        </w:rPr>
        <w:t>202</w:t>
      </w:r>
      <w:r w:rsidR="00646E5F">
        <w:rPr>
          <w:rStyle w:val="normaltextrun"/>
          <w:lang w:val="en-GB"/>
        </w:rPr>
        <w:t>5</w:t>
      </w:r>
      <w:r w:rsidR="00A7389D" w:rsidRPr="00F37D55">
        <w:rPr>
          <w:rStyle w:val="normaltextrun"/>
          <w:lang w:val="en-GB"/>
        </w:rPr>
        <w:t>/2</w:t>
      </w:r>
      <w:r w:rsidR="00646E5F">
        <w:rPr>
          <w:rStyle w:val="normaltextrun"/>
          <w:lang w:val="en-GB"/>
        </w:rPr>
        <w:t>6</w:t>
      </w:r>
      <w:r w:rsidR="00A7389D" w:rsidRPr="00F37D55">
        <w:rPr>
          <w:rStyle w:val="normaltextrun"/>
          <w:lang w:val="en-GB"/>
        </w:rPr>
        <w:t xml:space="preserve"> </w:t>
      </w:r>
      <w:r w:rsidR="00646E5F">
        <w:rPr>
          <w:rStyle w:val="normaltextrun"/>
          <w:lang w:val="en-GB"/>
        </w:rPr>
        <w:t>fall</w:t>
      </w:r>
      <w:r w:rsidR="00A7389D" w:rsidRPr="00F37D55">
        <w:rPr>
          <w:rStyle w:val="normaltextrun"/>
          <w:lang w:val="en-GB"/>
        </w:rPr>
        <w:t xml:space="preserve"> term</w:t>
      </w:r>
    </w:p>
    <w:p w14:paraId="62970E60" w14:textId="2859F690" w:rsidR="004A3D8E" w:rsidRDefault="004A3D8E" w:rsidP="004A3D8E">
      <w:pPr>
        <w:pStyle w:val="paragraph"/>
        <w:textAlignment w:val="baseline"/>
      </w:pPr>
      <w:r w:rsidRPr="2BE1D5FA">
        <w:rPr>
          <w:rStyle w:val="normaltextrun"/>
          <w:b/>
          <w:bCs/>
          <w:lang w:val="en-GB"/>
        </w:rPr>
        <w:t xml:space="preserve">Course level: </w:t>
      </w:r>
      <w:r w:rsidR="007D7DA4" w:rsidRPr="00F37D55">
        <w:rPr>
          <w:rStyle w:val="normaltextrun"/>
          <w:lang w:val="en-GB"/>
        </w:rPr>
        <w:t>MA</w:t>
      </w:r>
      <w:r w:rsidR="63D4B624" w:rsidRPr="00F37D55">
        <w:rPr>
          <w:lang w:val="en-GB"/>
        </w:rPr>
        <w:t xml:space="preserve"> </w:t>
      </w:r>
    </w:p>
    <w:p w14:paraId="62ADBC91" w14:textId="281EFD78" w:rsidR="004A3D8E" w:rsidRPr="00853260" w:rsidRDefault="004A3D8E" w:rsidP="004A3D8E">
      <w:pPr>
        <w:pStyle w:val="paragraph"/>
        <w:textAlignment w:val="baseline"/>
      </w:pPr>
      <w:r w:rsidRPr="1E25930D">
        <w:rPr>
          <w:rStyle w:val="normaltextrun"/>
          <w:b/>
          <w:bCs/>
          <w:lang w:val="en-GB"/>
        </w:rPr>
        <w:t>Relationship with other courses (e.g. prerequisites for taking the course)</w:t>
      </w:r>
      <w:r w:rsidR="007D7DA4" w:rsidRPr="1E25930D">
        <w:rPr>
          <w:rStyle w:val="normaltextrun"/>
          <w:b/>
          <w:bCs/>
          <w:lang w:val="en-GB"/>
        </w:rPr>
        <w:t>:</w:t>
      </w:r>
      <w:r w:rsidR="00853260">
        <w:rPr>
          <w:rStyle w:val="normaltextrun"/>
          <w:b/>
          <w:bCs/>
          <w:lang w:val="en-GB"/>
        </w:rPr>
        <w:t xml:space="preserve"> </w:t>
      </w:r>
      <w:r w:rsidR="00853260" w:rsidRPr="00853260">
        <w:rPr>
          <w:rStyle w:val="normaltextrun"/>
          <w:lang w:val="en-GB"/>
        </w:rPr>
        <w:t>Knowledge of basic micro- and macroeconomics is desirable</w:t>
      </w:r>
    </w:p>
    <w:p w14:paraId="1F636582" w14:textId="5F2FB855" w:rsidR="004A3D8E" w:rsidRDefault="004A3D8E" w:rsidP="004A3D8E">
      <w:pPr>
        <w:pStyle w:val="paragraph"/>
        <w:textAlignment w:val="baseline"/>
      </w:pPr>
      <w:r>
        <w:rPr>
          <w:rStyle w:val="normaltextrun"/>
          <w:b/>
          <w:bCs/>
          <w:lang w:val="en-GB"/>
        </w:rPr>
        <w:t xml:space="preserve">Course type (Mandatory, Mandatory Elective, or Elective): </w:t>
      </w:r>
      <w:r w:rsidR="00A7389D" w:rsidRPr="00A7389D">
        <w:rPr>
          <w:rStyle w:val="normaltextrun"/>
          <w:lang w:val="en-GB"/>
        </w:rPr>
        <w:t>Elective</w:t>
      </w:r>
    </w:p>
    <w:p w14:paraId="02F5D72B" w14:textId="0C7EB740" w:rsidR="1E25930D" w:rsidRDefault="1E25930D" w:rsidP="1E25930D">
      <w:pPr>
        <w:pStyle w:val="paragraph"/>
        <w:rPr>
          <w:rStyle w:val="normaltextrun"/>
          <w:b/>
          <w:bCs/>
          <w:lang w:val="en-GB"/>
        </w:rPr>
      </w:pPr>
    </w:p>
    <w:p w14:paraId="1DD8FF87" w14:textId="006604FD" w:rsidR="004A3D8E" w:rsidRDefault="008D7233" w:rsidP="1E25930D">
      <w:pPr>
        <w:pStyle w:val="paragraph"/>
        <w:textAlignment w:val="baseline"/>
      </w:pPr>
      <w:r>
        <w:rPr>
          <w:rStyle w:val="normaltextrun"/>
          <w:b/>
          <w:bCs/>
          <w:lang w:val="en-GB"/>
        </w:rPr>
        <w:t xml:space="preserve">Course description </w:t>
      </w:r>
    </w:p>
    <w:p w14:paraId="3D97CA55" w14:textId="339C29DF" w:rsidR="00473B4C" w:rsidRDefault="00473B4C" w:rsidP="004B3BAB">
      <w:pPr>
        <w:pStyle w:val="paragraph"/>
        <w:textAlignment w:val="baseline"/>
        <w:rPr>
          <w:i/>
          <w:iCs/>
        </w:rPr>
      </w:pPr>
      <w:r w:rsidRPr="00473B4C">
        <w:rPr>
          <w:i/>
          <w:iCs/>
        </w:rPr>
        <w:t>Public choice theory offers valuable insights into political decision-making by analyzing how individual incentives and institutional structures influence collective outcomes.</w:t>
      </w:r>
      <w:r>
        <w:rPr>
          <w:i/>
          <w:iCs/>
        </w:rPr>
        <w:t xml:space="preserve"> </w:t>
      </w:r>
      <w:r w:rsidR="004B3BAB">
        <w:rPr>
          <w:i/>
          <w:iCs/>
        </w:rPr>
        <w:t xml:space="preserve">Think about the development of the 2018 trade war between USA and China. </w:t>
      </w:r>
      <w:r w:rsidR="004B3BAB" w:rsidRPr="004B3BAB">
        <w:rPr>
          <w:i/>
          <w:iCs/>
        </w:rPr>
        <w:t>Trump's tariffs on steel and aluminum benefited domestic manufacturers but increased costs for automakers, construction firms, and consumers.</w:t>
      </w:r>
      <w:r w:rsidR="004B3BAB">
        <w:rPr>
          <w:i/>
          <w:iCs/>
        </w:rPr>
        <w:t xml:space="preserve"> </w:t>
      </w:r>
      <w:r w:rsidR="004B3BAB" w:rsidRPr="004B3BAB">
        <w:rPr>
          <w:i/>
          <w:iCs/>
        </w:rPr>
        <w:t xml:space="preserve">The U.S. steel industry lobbied heavily for protectionist measures, showing classic </w:t>
      </w:r>
      <w:r w:rsidR="004B3BAB" w:rsidRPr="004B3BAB">
        <w:rPr>
          <w:b/>
          <w:bCs/>
          <w:i/>
          <w:iCs/>
        </w:rPr>
        <w:t>rent-seeking behavior</w:t>
      </w:r>
      <w:r w:rsidR="004B3BAB" w:rsidRPr="004B3BAB">
        <w:rPr>
          <w:i/>
          <w:iCs/>
        </w:rPr>
        <w:t xml:space="preserve">—where industries use political influence </w:t>
      </w:r>
      <w:proofErr w:type="gramStart"/>
      <w:r w:rsidR="004B3BAB" w:rsidRPr="004B3BAB">
        <w:rPr>
          <w:i/>
          <w:iCs/>
        </w:rPr>
        <w:t>to</w:t>
      </w:r>
      <w:proofErr w:type="gramEnd"/>
      <w:r w:rsidR="004B3BAB" w:rsidRPr="004B3BAB">
        <w:rPr>
          <w:i/>
          <w:iCs/>
        </w:rPr>
        <w:t xml:space="preserve"> secure favorable policies rather than competing in the market.</w:t>
      </w:r>
      <w:r w:rsidR="004B3BAB">
        <w:rPr>
          <w:i/>
          <w:iCs/>
        </w:rPr>
        <w:t xml:space="preserve"> T</w:t>
      </w:r>
      <w:r w:rsidR="004B3BAB" w:rsidRPr="004B3BAB">
        <w:rPr>
          <w:i/>
          <w:iCs/>
        </w:rPr>
        <w:t>he benefits of tariffs were concentrated among a few industries (e.g., U.S. steel producers), while the costs were spread out among millions of businesses and consumers.</w:t>
      </w:r>
      <w:r w:rsidR="004B3BAB">
        <w:rPr>
          <w:i/>
          <w:iCs/>
        </w:rPr>
        <w:t xml:space="preserve"> </w:t>
      </w:r>
      <w:r w:rsidR="004B3BAB" w:rsidRPr="004B3BAB">
        <w:rPr>
          <w:i/>
          <w:iCs/>
        </w:rPr>
        <w:t xml:space="preserve">Public choice theory explains why </w:t>
      </w:r>
      <w:r w:rsidR="004B3BAB" w:rsidRPr="004B3BAB">
        <w:rPr>
          <w:b/>
          <w:bCs/>
          <w:i/>
          <w:iCs/>
        </w:rPr>
        <w:t>protectionist policies persist</w:t>
      </w:r>
      <w:r w:rsidR="004B3BAB" w:rsidRPr="004B3BAB">
        <w:rPr>
          <w:i/>
          <w:iCs/>
        </w:rPr>
        <w:t>—small groups with high stakes push for policies, while the larger public, facing minor individual losses, does not mobilize as effectively.</w:t>
      </w:r>
      <w:r w:rsidR="004B3BAB">
        <w:rPr>
          <w:i/>
          <w:iCs/>
        </w:rPr>
        <w:t xml:space="preserve"> Further, w</w:t>
      </w:r>
      <w:r w:rsidR="004B3BAB" w:rsidRPr="004B3BAB">
        <w:rPr>
          <w:i/>
          <w:iCs/>
        </w:rPr>
        <w:t xml:space="preserve">hile Trump’s tariffs were not explicitly designed to target swing counties, they </w:t>
      </w:r>
      <w:r w:rsidR="004B3BAB" w:rsidRPr="004B3BAB">
        <w:rPr>
          <w:b/>
          <w:bCs/>
          <w:i/>
          <w:iCs/>
        </w:rPr>
        <w:t>benefited</w:t>
      </w:r>
      <w:r w:rsidR="004B3BAB" w:rsidRPr="004B3BAB">
        <w:rPr>
          <w:i/>
          <w:iCs/>
        </w:rPr>
        <w:t xml:space="preserve"> key Rust Belt states like Pennsylvania, Michigan, and Ohio—which were crucial for his electoral strategy.</w:t>
      </w:r>
      <w:r w:rsidR="004B3BAB">
        <w:rPr>
          <w:i/>
          <w:iCs/>
        </w:rPr>
        <w:t xml:space="preserve"> </w:t>
      </w:r>
      <w:r w:rsidR="004B3BAB" w:rsidRPr="004B3BAB">
        <w:rPr>
          <w:i/>
          <w:iCs/>
        </w:rPr>
        <w:t xml:space="preserve">Public choice theory suggests that </w:t>
      </w:r>
      <w:r w:rsidR="004B3BAB" w:rsidRPr="004B3BAB">
        <w:rPr>
          <w:b/>
          <w:bCs/>
          <w:i/>
          <w:iCs/>
        </w:rPr>
        <w:t>politicians create policies to maximize electoral support</w:t>
      </w:r>
      <w:r w:rsidR="004B3BAB" w:rsidRPr="004B3BAB">
        <w:rPr>
          <w:i/>
          <w:iCs/>
        </w:rPr>
        <w:t>, and these tariffs appealed to blue-collar workers in manufacturing-heavy battleground states.</w:t>
      </w:r>
      <w:r w:rsidR="004B3BAB">
        <w:rPr>
          <w:i/>
          <w:iCs/>
        </w:rPr>
        <w:t xml:space="preserve"> </w:t>
      </w:r>
      <w:r w:rsidR="004B3BAB" w:rsidRPr="004B3BAB">
        <w:rPr>
          <w:i/>
          <w:iCs/>
        </w:rPr>
        <w:t xml:space="preserve">China’s counter-tariffs were </w:t>
      </w:r>
      <w:r w:rsidR="004B3BAB" w:rsidRPr="004B3BAB">
        <w:rPr>
          <w:b/>
          <w:bCs/>
          <w:i/>
          <w:iCs/>
        </w:rPr>
        <w:t>strategically targeted</w:t>
      </w:r>
      <w:r w:rsidR="004B3BAB" w:rsidRPr="004B3BAB">
        <w:rPr>
          <w:i/>
          <w:iCs/>
        </w:rPr>
        <w:t xml:space="preserve"> at industries in Trump-supporting regions, especially agriculture in the Midwest</w:t>
      </w:r>
      <w:r w:rsidR="004B3BAB">
        <w:rPr>
          <w:i/>
          <w:iCs/>
        </w:rPr>
        <w:t xml:space="preserve"> and cost the Republicans a big share of votes in the subsequent elections. </w:t>
      </w:r>
    </w:p>
    <w:p w14:paraId="474E601A" w14:textId="7911BF22" w:rsidR="004B3BAB" w:rsidRDefault="004B3BAB" w:rsidP="004B3BAB">
      <w:pPr>
        <w:pStyle w:val="paragraph"/>
        <w:textAlignment w:val="baseline"/>
        <w:rPr>
          <w:i/>
          <w:iCs/>
        </w:rPr>
      </w:pPr>
      <w:r>
        <w:rPr>
          <w:i/>
          <w:iCs/>
        </w:rPr>
        <w:t xml:space="preserve">These are the kinds of </w:t>
      </w:r>
      <w:r w:rsidR="00E4550F">
        <w:rPr>
          <w:i/>
          <w:iCs/>
        </w:rPr>
        <w:t>real-life</w:t>
      </w:r>
      <w:r>
        <w:rPr>
          <w:i/>
          <w:iCs/>
        </w:rPr>
        <w:t xml:space="preserve"> phenomena that can be </w:t>
      </w:r>
      <w:proofErr w:type="spellStart"/>
      <w:r>
        <w:rPr>
          <w:i/>
          <w:iCs/>
        </w:rPr>
        <w:t>analysed</w:t>
      </w:r>
      <w:proofErr w:type="spellEnd"/>
      <w:r>
        <w:rPr>
          <w:i/>
          <w:iCs/>
        </w:rPr>
        <w:t xml:space="preserve"> with public choice theory.</w:t>
      </w:r>
    </w:p>
    <w:p w14:paraId="15426FD8" w14:textId="44181025" w:rsidR="1E25930D" w:rsidRPr="00420EF7" w:rsidRDefault="00853260" w:rsidP="00420EF7">
      <w:pPr>
        <w:pStyle w:val="paragraph"/>
        <w:textAlignment w:val="baseline"/>
        <w:rPr>
          <w:rStyle w:val="normaltextrun"/>
          <w:i/>
          <w:iCs/>
          <w:lang w:val="en-GB"/>
        </w:rPr>
      </w:pPr>
      <w:r w:rsidRPr="00853260">
        <w:rPr>
          <w:i/>
          <w:iCs/>
        </w:rPr>
        <w:t xml:space="preserve">This course explores the foundations of public choice theory, analyzing how economic and political institutions shape collective decision-making. It covers key theoretical models, including voting systems, rent-seeking, and bureaucracy, while integrating empirical research to assess real-world policy outcomes. Students will engage with case studies and </w:t>
      </w:r>
      <w:r>
        <w:rPr>
          <w:i/>
          <w:iCs/>
        </w:rPr>
        <w:t>empirical literature</w:t>
      </w:r>
      <w:r w:rsidRPr="00853260">
        <w:rPr>
          <w:i/>
          <w:iCs/>
        </w:rPr>
        <w:t xml:space="preserve"> to evaluate the effectiveness of public choice theories in explaining government behavior</w:t>
      </w:r>
      <w:r>
        <w:rPr>
          <w:i/>
          <w:iCs/>
        </w:rPr>
        <w:t>, policy outcomes, and international differences in economic performance of nations</w:t>
      </w:r>
      <w:r w:rsidRPr="00853260">
        <w:rPr>
          <w:i/>
          <w:iCs/>
        </w:rPr>
        <w:t xml:space="preserve">. By the end of the course, participants will develop critical analytical </w:t>
      </w:r>
      <w:r w:rsidRPr="00853260">
        <w:rPr>
          <w:i/>
          <w:iCs/>
        </w:rPr>
        <w:lastRenderedPageBreak/>
        <w:t>skills to assess political incentives and policy design</w:t>
      </w:r>
      <w:r>
        <w:rPr>
          <w:i/>
          <w:iCs/>
        </w:rPr>
        <w:t xml:space="preserve"> and their effects</w:t>
      </w:r>
      <w:r w:rsidRPr="00853260">
        <w:rPr>
          <w:i/>
          <w:iCs/>
        </w:rPr>
        <w:t xml:space="preserve"> from both theoretical and empirical perspectives.</w:t>
      </w:r>
    </w:p>
    <w:p w14:paraId="5BD995C2" w14:textId="51ABBABD" w:rsidR="004A3D8E" w:rsidRPr="008D7233" w:rsidRDefault="004A3D8E" w:rsidP="32D74DD7">
      <w:pPr>
        <w:pStyle w:val="paragraph"/>
        <w:textAlignment w:val="baseline"/>
        <w:rPr>
          <w:rStyle w:val="normaltextrun"/>
          <w:b/>
          <w:bCs/>
          <w:lang w:val="en-GB"/>
        </w:rPr>
      </w:pPr>
    </w:p>
    <w:p w14:paraId="044889B1" w14:textId="69B566A4" w:rsidR="1E25930D" w:rsidRPr="00762614" w:rsidRDefault="008D7233" w:rsidP="00762614">
      <w:pPr>
        <w:pStyle w:val="paragraph"/>
        <w:textAlignment w:val="baseline"/>
        <w:rPr>
          <w:rStyle w:val="normaltextrun"/>
          <w:b/>
          <w:bCs/>
        </w:rPr>
      </w:pPr>
      <w:r w:rsidRPr="32D74DD7">
        <w:rPr>
          <w:rStyle w:val="normaltextrun"/>
          <w:b/>
          <w:bCs/>
          <w:lang w:val="en-GB"/>
        </w:rPr>
        <w:t>Learning outcomes:</w:t>
      </w:r>
    </w:p>
    <w:p w14:paraId="01FA7F98" w14:textId="5CCC43AC" w:rsidR="0BBFDD9A" w:rsidRPr="00B47426" w:rsidRDefault="0BBFDD9A" w:rsidP="1E25930D">
      <w:pPr>
        <w:pStyle w:val="paragraph"/>
        <w:rPr>
          <w:rStyle w:val="normaltextrun"/>
          <w:lang w:val="en-GB"/>
        </w:rPr>
      </w:pPr>
      <w:r w:rsidRPr="00B47426">
        <w:rPr>
          <w:rStyle w:val="normaltextrun"/>
          <w:lang w:val="en-GB"/>
        </w:rPr>
        <w:t>By the end of this course, students will be able to:</w:t>
      </w:r>
    </w:p>
    <w:p w14:paraId="6FA3C3A0" w14:textId="77777777" w:rsidR="00762614" w:rsidRPr="00B47426" w:rsidRDefault="0BBFDD9A" w:rsidP="00762614">
      <w:pPr>
        <w:pStyle w:val="paragraph"/>
        <w:rPr>
          <w:rStyle w:val="normaltextrun"/>
          <w:lang w:val="en-GB"/>
        </w:rPr>
      </w:pPr>
      <w:r w:rsidRPr="00B47426">
        <w:rPr>
          <w:rStyle w:val="normaltextrun"/>
          <w:lang w:val="en-GB"/>
        </w:rPr>
        <w:t xml:space="preserve">✓ </w:t>
      </w:r>
      <w:proofErr w:type="spellStart"/>
      <w:r w:rsidR="00762614" w:rsidRPr="00B47426">
        <w:rPr>
          <w:rStyle w:val="normaltextrun"/>
          <w:lang w:val="en-GB"/>
        </w:rPr>
        <w:t>Analyze</w:t>
      </w:r>
      <w:proofErr w:type="spellEnd"/>
      <w:r w:rsidR="00762614" w:rsidRPr="00B47426">
        <w:rPr>
          <w:rStyle w:val="normaltextrun"/>
          <w:lang w:val="en-GB"/>
        </w:rPr>
        <w:t xml:space="preserve"> key theoretical frameworks in public choice, including voting theory, rent-seeking, and bureaucratic </w:t>
      </w:r>
      <w:proofErr w:type="spellStart"/>
      <w:r w:rsidR="00762614" w:rsidRPr="00B47426">
        <w:rPr>
          <w:rStyle w:val="normaltextrun"/>
          <w:lang w:val="en-GB"/>
        </w:rPr>
        <w:t>behavior</w:t>
      </w:r>
      <w:proofErr w:type="spellEnd"/>
      <w:r w:rsidR="00762614" w:rsidRPr="00B47426">
        <w:rPr>
          <w:rStyle w:val="normaltextrun"/>
          <w:lang w:val="en-GB"/>
        </w:rPr>
        <w:t>.</w:t>
      </w:r>
    </w:p>
    <w:p w14:paraId="7894CC61" w14:textId="5364E980" w:rsidR="00762614" w:rsidRPr="00B47426" w:rsidRDefault="00762614" w:rsidP="00762614">
      <w:pPr>
        <w:pStyle w:val="paragraph"/>
        <w:rPr>
          <w:rStyle w:val="normaltextrun"/>
          <w:lang w:val="en-GB"/>
        </w:rPr>
      </w:pPr>
      <w:r w:rsidRPr="00B47426">
        <w:rPr>
          <w:rStyle w:val="normaltextrun"/>
          <w:rFonts w:ascii="Segoe UI Symbol" w:hAnsi="Segoe UI Symbol" w:cs="Segoe UI Symbol"/>
          <w:lang w:val="en-GB"/>
        </w:rPr>
        <w:t xml:space="preserve">✓ </w:t>
      </w:r>
      <w:r w:rsidRPr="00B47426">
        <w:rPr>
          <w:rStyle w:val="normaltextrun"/>
          <w:lang w:val="en-GB"/>
        </w:rPr>
        <w:t>Critically assess empirical studies that test public choice theories using real-world data.</w:t>
      </w:r>
    </w:p>
    <w:p w14:paraId="7F719DCB" w14:textId="5BBE9E08" w:rsidR="00762614" w:rsidRPr="00B47426" w:rsidRDefault="00762614" w:rsidP="00762614">
      <w:pPr>
        <w:pStyle w:val="paragraph"/>
        <w:rPr>
          <w:rStyle w:val="normaltextrun"/>
          <w:lang w:val="en-GB"/>
        </w:rPr>
      </w:pPr>
      <w:r w:rsidRPr="00B47426">
        <w:rPr>
          <w:rStyle w:val="normaltextrun"/>
          <w:rFonts w:ascii="Segoe UI Symbol" w:hAnsi="Segoe UI Symbol" w:cs="Segoe UI Symbol"/>
          <w:lang w:val="en-GB"/>
        </w:rPr>
        <w:t xml:space="preserve">✓ </w:t>
      </w:r>
      <w:r w:rsidRPr="00B47426">
        <w:rPr>
          <w:rStyle w:val="normaltextrun"/>
          <w:lang w:val="en-GB"/>
        </w:rPr>
        <w:t>Apply quantitative and qualitative methods to assess political decision-making and institutional performance.</w:t>
      </w:r>
    </w:p>
    <w:p w14:paraId="44BF7EFD" w14:textId="3AC17119" w:rsidR="00762614" w:rsidRPr="00B47426" w:rsidRDefault="00762614" w:rsidP="00762614">
      <w:pPr>
        <w:pStyle w:val="paragraph"/>
        <w:rPr>
          <w:rStyle w:val="normaltextrun"/>
          <w:lang w:val="en-GB"/>
        </w:rPr>
      </w:pPr>
      <w:r w:rsidRPr="00B47426">
        <w:rPr>
          <w:rStyle w:val="normaltextrun"/>
          <w:rFonts w:ascii="Segoe UI Symbol" w:hAnsi="Segoe UI Symbol" w:cs="Segoe UI Symbol"/>
          <w:lang w:val="en-GB"/>
        </w:rPr>
        <w:t xml:space="preserve">✓ </w:t>
      </w:r>
      <w:r w:rsidRPr="00B47426">
        <w:rPr>
          <w:rStyle w:val="normaltextrun"/>
          <w:lang w:val="en-GB"/>
        </w:rPr>
        <w:t>Critically assess the role of incentives in political and economic institutions.</w:t>
      </w:r>
    </w:p>
    <w:p w14:paraId="0F48B68C" w14:textId="7AFB5383" w:rsidR="1E25930D" w:rsidRPr="00B47426" w:rsidRDefault="00762614" w:rsidP="32D74DD7">
      <w:pPr>
        <w:pStyle w:val="paragraph"/>
        <w:rPr>
          <w:rStyle w:val="normaltextrun"/>
          <w:lang w:val="en-GB"/>
        </w:rPr>
      </w:pPr>
      <w:r w:rsidRPr="00B47426">
        <w:rPr>
          <w:rStyle w:val="normaltextrun"/>
          <w:rFonts w:ascii="Segoe UI Symbol" w:hAnsi="Segoe UI Symbol" w:cs="Segoe UI Symbol"/>
          <w:lang w:val="en-GB"/>
        </w:rPr>
        <w:t xml:space="preserve">✓ </w:t>
      </w:r>
      <w:r w:rsidRPr="00B47426">
        <w:rPr>
          <w:rStyle w:val="normaltextrun"/>
          <w:lang w:val="en-GB"/>
        </w:rPr>
        <w:t>Develop policy recommendations based on insights from public choice theory and empirical evidence.</w:t>
      </w:r>
    </w:p>
    <w:p w14:paraId="787953D6" w14:textId="77777777" w:rsidR="004A3D8E" w:rsidRDefault="004A3D8E" w:rsidP="004A3D8E">
      <w:pPr>
        <w:pStyle w:val="paragraph"/>
        <w:textAlignment w:val="baseline"/>
        <w:rPr>
          <w:rStyle w:val="eop"/>
        </w:rPr>
      </w:pPr>
      <w:r>
        <w:rPr>
          <w:rStyle w:val="eop"/>
        </w:rPr>
        <w:t> </w:t>
      </w:r>
    </w:p>
    <w:p w14:paraId="6E9D4898" w14:textId="6BEA4E23" w:rsidR="00B3773B" w:rsidRPr="00B3773B" w:rsidRDefault="00B3773B" w:rsidP="004A3D8E">
      <w:pPr>
        <w:pStyle w:val="paragraph"/>
        <w:textAlignment w:val="baseline"/>
        <w:rPr>
          <w:rStyle w:val="eop"/>
          <w:b/>
          <w:bCs/>
        </w:rPr>
      </w:pPr>
      <w:r w:rsidRPr="00B3773B">
        <w:rPr>
          <w:rStyle w:val="eop"/>
          <w:b/>
          <w:bCs/>
        </w:rPr>
        <w:t>Main textbooks:</w:t>
      </w:r>
    </w:p>
    <w:p w14:paraId="0F246673" w14:textId="2C1F2A59" w:rsidR="00B3773B" w:rsidRDefault="00B3773B" w:rsidP="004A3D8E">
      <w:pPr>
        <w:pStyle w:val="paragraph"/>
        <w:textAlignment w:val="baseline"/>
      </w:pPr>
      <w:r w:rsidRPr="00B3773B">
        <w:t>Mueller, D. C. (2003). Public choice III. Cambridge University Press.</w:t>
      </w:r>
    </w:p>
    <w:p w14:paraId="4E262DB9" w14:textId="20EB19A7" w:rsidR="00B3773B" w:rsidRDefault="00B3773B" w:rsidP="004A3D8E">
      <w:pPr>
        <w:pStyle w:val="paragraph"/>
        <w:textAlignment w:val="baseline"/>
      </w:pPr>
      <w:r w:rsidRPr="00B3773B">
        <w:t>Voigt, S. (2020). Constitutional economics: A primer. Cambridge University Press.</w:t>
      </w:r>
    </w:p>
    <w:p w14:paraId="273FB8A2" w14:textId="77777777" w:rsidR="00B3773B" w:rsidRDefault="00B3773B" w:rsidP="004A3D8E">
      <w:pPr>
        <w:pStyle w:val="paragraph"/>
        <w:textAlignment w:val="baseline"/>
      </w:pPr>
    </w:p>
    <w:p w14:paraId="61923CEA" w14:textId="1F9F53BF" w:rsidR="004A3D8E" w:rsidRDefault="004A3D8E" w:rsidP="1E25930D">
      <w:pPr>
        <w:pStyle w:val="paragraph"/>
        <w:textAlignment w:val="baseline"/>
      </w:pPr>
      <w:r>
        <w:rPr>
          <w:rStyle w:val="normaltextrun"/>
          <w:b/>
          <w:bCs/>
          <w:lang w:val="en-GB"/>
        </w:rPr>
        <w:t>Assessment</w:t>
      </w:r>
      <w:r w:rsidR="00121DD7">
        <w:rPr>
          <w:rStyle w:val="normaltextrun"/>
          <w:lang w:val="en-GB"/>
        </w:rPr>
        <w:t>:</w:t>
      </w:r>
    </w:p>
    <w:p w14:paraId="05C30986" w14:textId="2CFB0A79" w:rsidR="00B47426" w:rsidRPr="00B47426" w:rsidRDefault="00B47426" w:rsidP="00B47426">
      <w:pPr>
        <w:pStyle w:val="paragraph"/>
        <w:rPr>
          <w:rStyle w:val="normaltextrun"/>
          <w:lang w:val="en-GB"/>
        </w:rPr>
      </w:pPr>
      <w:r w:rsidRPr="00B47426">
        <w:rPr>
          <w:rStyle w:val="normaltextrun"/>
          <w:lang w:val="en-GB"/>
        </w:rPr>
        <w:t xml:space="preserve">Assessment of the course is based on a </w:t>
      </w:r>
      <w:r w:rsidRPr="00B47426">
        <w:rPr>
          <w:rStyle w:val="normaltextrun"/>
          <w:b/>
          <w:bCs/>
          <w:lang w:val="en-GB"/>
        </w:rPr>
        <w:t>seminar paper</w:t>
      </w:r>
      <w:r w:rsidRPr="00B47426">
        <w:rPr>
          <w:rStyle w:val="normaltextrun"/>
          <w:lang w:val="en-GB"/>
        </w:rPr>
        <w:t xml:space="preserve"> on the topics discussed in class. The paper should be a case study of </w:t>
      </w:r>
      <w:r w:rsidRPr="00B47426">
        <w:rPr>
          <w:rStyle w:val="normaltextrun"/>
          <w:b/>
          <w:bCs/>
          <w:lang w:val="en-GB"/>
        </w:rPr>
        <w:t>observed world phenomena</w:t>
      </w:r>
      <w:r w:rsidRPr="00B47426">
        <w:rPr>
          <w:rStyle w:val="normaltextrun"/>
          <w:lang w:val="en-GB"/>
        </w:rPr>
        <w:t xml:space="preserve"> based on the theoretical and empirical concepts discussed in class. </w:t>
      </w:r>
    </w:p>
    <w:p w14:paraId="0DFCAE82" w14:textId="0275DAEA" w:rsidR="00B47426" w:rsidRPr="00B47426" w:rsidRDefault="00B47426" w:rsidP="00B47426">
      <w:pPr>
        <w:pStyle w:val="paragraph"/>
        <w:rPr>
          <w:rStyle w:val="normaltextrun"/>
          <w:lang w:val="en-GB"/>
        </w:rPr>
      </w:pPr>
      <w:r w:rsidRPr="00B47426">
        <w:rPr>
          <w:rStyle w:val="normaltextrun"/>
          <w:lang w:val="en-GB"/>
        </w:rPr>
        <w:t>A rough outline is as follows (the order can be changed):</w:t>
      </w:r>
    </w:p>
    <w:p w14:paraId="31BF73C4" w14:textId="35CD8A3E" w:rsidR="00B47426" w:rsidRPr="00B47426" w:rsidRDefault="00B47426" w:rsidP="00B47426">
      <w:pPr>
        <w:pStyle w:val="paragraph"/>
        <w:ind w:left="720"/>
        <w:rPr>
          <w:rStyle w:val="normaltextrun"/>
          <w:lang w:val="en-GB"/>
        </w:rPr>
      </w:pPr>
      <w:r w:rsidRPr="00B47426">
        <w:rPr>
          <w:rStyle w:val="normaltextrun"/>
          <w:lang w:val="en-GB"/>
        </w:rPr>
        <w:t xml:space="preserve">1. Introduction and context </w:t>
      </w:r>
    </w:p>
    <w:p w14:paraId="18C8E512" w14:textId="440E82C5" w:rsidR="00B47426" w:rsidRPr="00B47426" w:rsidRDefault="00B47426" w:rsidP="00B47426">
      <w:pPr>
        <w:pStyle w:val="paragraph"/>
        <w:ind w:left="720"/>
        <w:rPr>
          <w:rStyle w:val="normaltextrun"/>
          <w:lang w:val="en-GB"/>
        </w:rPr>
      </w:pPr>
      <w:r w:rsidRPr="00B47426">
        <w:rPr>
          <w:rStyle w:val="normaltextrun"/>
          <w:lang w:val="en-GB"/>
        </w:rPr>
        <w:t xml:space="preserve">2. Theoretical concept presented </w:t>
      </w:r>
      <w:r w:rsidR="00C169ED">
        <w:rPr>
          <w:rStyle w:val="normaltextrun"/>
          <w:lang w:val="en-GB"/>
        </w:rPr>
        <w:t>and related literature</w:t>
      </w:r>
    </w:p>
    <w:p w14:paraId="6E08A639" w14:textId="7BBB9FEC" w:rsidR="00B47426" w:rsidRPr="00B47426" w:rsidRDefault="00B47426" w:rsidP="00B47426">
      <w:pPr>
        <w:pStyle w:val="paragraph"/>
        <w:ind w:left="720"/>
        <w:rPr>
          <w:rStyle w:val="normaltextrun"/>
          <w:lang w:val="en-GB"/>
        </w:rPr>
      </w:pPr>
      <w:r w:rsidRPr="00B47426">
        <w:rPr>
          <w:rStyle w:val="normaltextrun"/>
          <w:lang w:val="en-GB"/>
        </w:rPr>
        <w:t xml:space="preserve">3. Case study with a research question </w:t>
      </w:r>
    </w:p>
    <w:p w14:paraId="5CDDCBDF" w14:textId="67F31133" w:rsidR="00B47426" w:rsidRPr="00B47426" w:rsidRDefault="00B47426" w:rsidP="00B47426">
      <w:pPr>
        <w:pStyle w:val="paragraph"/>
        <w:ind w:left="720"/>
        <w:rPr>
          <w:rStyle w:val="normaltextrun"/>
          <w:lang w:val="en-GB"/>
        </w:rPr>
      </w:pPr>
      <w:r w:rsidRPr="00B47426">
        <w:rPr>
          <w:rStyle w:val="normaltextrun"/>
          <w:lang w:val="en-GB"/>
        </w:rPr>
        <w:t xml:space="preserve">4. Detailed explanation of the solution </w:t>
      </w:r>
    </w:p>
    <w:p w14:paraId="43E30AE5" w14:textId="77777777" w:rsidR="00B47426" w:rsidRPr="00B47426" w:rsidRDefault="00B47426" w:rsidP="00B47426">
      <w:pPr>
        <w:pStyle w:val="paragraph"/>
        <w:rPr>
          <w:rStyle w:val="normaltextrun"/>
          <w:lang w:val="en-GB"/>
        </w:rPr>
      </w:pPr>
    </w:p>
    <w:p w14:paraId="7825C7B5" w14:textId="6F24FF98" w:rsidR="00B47426" w:rsidRPr="00B47426" w:rsidRDefault="00B47426" w:rsidP="00B47426">
      <w:pPr>
        <w:pStyle w:val="paragraph"/>
        <w:rPr>
          <w:rStyle w:val="normaltextrun"/>
          <w:lang w:val="en-GB"/>
        </w:rPr>
      </w:pPr>
      <w:r w:rsidRPr="00B47426">
        <w:rPr>
          <w:rStyle w:val="normaltextrun"/>
          <w:lang w:val="en-GB"/>
        </w:rPr>
        <w:lastRenderedPageBreak/>
        <w:t xml:space="preserve">The entire paper should not be longer than </w:t>
      </w:r>
      <w:r w:rsidR="00C169ED">
        <w:rPr>
          <w:rStyle w:val="normaltextrun"/>
          <w:lang w:val="en-GB"/>
        </w:rPr>
        <w:t>10</w:t>
      </w:r>
      <w:r w:rsidRPr="00B47426">
        <w:rPr>
          <w:rStyle w:val="normaltextrun"/>
          <w:lang w:val="en-GB"/>
        </w:rPr>
        <w:t xml:space="preserve"> pages (font size 12pt, normal margins, line spacing 1.5).</w:t>
      </w:r>
    </w:p>
    <w:p w14:paraId="5C6B66C2" w14:textId="77777777" w:rsidR="00B47426" w:rsidRPr="00B47426" w:rsidRDefault="00B47426" w:rsidP="00B47426">
      <w:pPr>
        <w:pStyle w:val="paragraph"/>
        <w:rPr>
          <w:rStyle w:val="normaltextrun"/>
          <w:lang w:val="en-GB"/>
        </w:rPr>
      </w:pPr>
    </w:p>
    <w:p w14:paraId="1F5211FF" w14:textId="77777777" w:rsidR="00B47426" w:rsidRPr="00B47426" w:rsidRDefault="00B47426" w:rsidP="00B47426">
      <w:pPr>
        <w:pStyle w:val="paragraph"/>
        <w:rPr>
          <w:rStyle w:val="normaltextrun"/>
          <w:lang w:val="en-GB"/>
        </w:rPr>
      </w:pPr>
      <w:r w:rsidRPr="00B47426">
        <w:rPr>
          <w:rStyle w:val="normaltextrun"/>
          <w:lang w:val="en-GB"/>
        </w:rPr>
        <w:t>The following assessment criteria are applied (total 25 points):</w:t>
      </w:r>
    </w:p>
    <w:p w14:paraId="2A891E3B" w14:textId="77777777" w:rsidR="00B47426" w:rsidRPr="00B47426" w:rsidRDefault="00B47426" w:rsidP="00B47426">
      <w:pPr>
        <w:pStyle w:val="paragraph"/>
        <w:ind w:left="720"/>
        <w:rPr>
          <w:rStyle w:val="normaltextrun"/>
          <w:lang w:val="en-GB"/>
        </w:rPr>
      </w:pPr>
      <w:r w:rsidRPr="00B47426">
        <w:rPr>
          <w:rStyle w:val="normaltextrun"/>
          <w:lang w:val="en-GB"/>
        </w:rPr>
        <w:t>1. Introduction &amp; context: description complete, references appropriate and sufficient (5 points)</w:t>
      </w:r>
    </w:p>
    <w:p w14:paraId="695998EB" w14:textId="77777777" w:rsidR="00B47426" w:rsidRPr="00B47426" w:rsidRDefault="00B47426" w:rsidP="00B47426">
      <w:pPr>
        <w:pStyle w:val="paragraph"/>
        <w:ind w:left="720"/>
        <w:rPr>
          <w:rStyle w:val="normaltextrun"/>
          <w:lang w:val="en-GB"/>
        </w:rPr>
      </w:pPr>
      <w:r w:rsidRPr="00B47426">
        <w:rPr>
          <w:rStyle w:val="normaltextrun"/>
          <w:lang w:val="en-GB"/>
        </w:rPr>
        <w:t>2. Theoretical concept: complete and correct definition of the concept, sufficient theoretical explanation and necessary formulas or figures (10 points)</w:t>
      </w:r>
    </w:p>
    <w:p w14:paraId="6D1A83BC" w14:textId="77777777" w:rsidR="00B47426" w:rsidRPr="00B47426" w:rsidRDefault="00B47426" w:rsidP="00B47426">
      <w:pPr>
        <w:pStyle w:val="paragraph"/>
        <w:ind w:left="720"/>
        <w:rPr>
          <w:rStyle w:val="normaltextrun"/>
          <w:b/>
          <w:bCs/>
          <w:lang w:val="en-GB"/>
        </w:rPr>
      </w:pPr>
      <w:r w:rsidRPr="00B47426">
        <w:rPr>
          <w:rStyle w:val="normaltextrun"/>
          <w:lang w:val="en-GB"/>
        </w:rPr>
        <w:t>3. Case: correct application of the concept to the problem, correct implementation of the calculations or explanations, complete and detailed description of the procedure, if necessary, figures with applied data. (10 points)</w:t>
      </w:r>
      <w:r w:rsidRPr="00B47426">
        <w:rPr>
          <w:rStyle w:val="normaltextrun"/>
          <w:b/>
          <w:bCs/>
          <w:lang w:val="en-GB"/>
        </w:rPr>
        <w:t xml:space="preserve"> </w:t>
      </w:r>
    </w:p>
    <w:p w14:paraId="0B39A44F" w14:textId="77777777" w:rsidR="00B47426" w:rsidRDefault="00B47426" w:rsidP="00B47426">
      <w:pPr>
        <w:pStyle w:val="paragraph"/>
        <w:rPr>
          <w:rStyle w:val="normaltextrun"/>
          <w:b/>
          <w:bCs/>
          <w:lang w:val="en-GB"/>
        </w:rPr>
      </w:pPr>
    </w:p>
    <w:p w14:paraId="0DAC1FD8" w14:textId="2D3CA95A" w:rsidR="00420EF7" w:rsidRDefault="00B3773B" w:rsidP="00B47426">
      <w:pPr>
        <w:pStyle w:val="paragraph"/>
        <w:rPr>
          <w:rStyle w:val="normaltextrun"/>
          <w:b/>
          <w:bCs/>
          <w:lang w:val="en-GB"/>
        </w:rPr>
      </w:pPr>
      <w:r>
        <w:rPr>
          <w:rStyle w:val="normaltextrun"/>
          <w:b/>
          <w:bCs/>
          <w:lang w:val="en-GB"/>
        </w:rPr>
        <w:t>Course contents and timetable: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7"/>
        <w:gridCol w:w="5422"/>
      </w:tblGrid>
      <w:tr w:rsidR="00420EF7" w14:paraId="4763DE58" w14:textId="77777777" w:rsidTr="00B3773B">
        <w:trPr>
          <w:tblHeader/>
          <w:tblCellSpacing w:w="15" w:type="dxa"/>
        </w:trPr>
        <w:tc>
          <w:tcPr>
            <w:tcW w:w="3555" w:type="dxa"/>
            <w:vAlign w:val="center"/>
            <w:hideMark/>
          </w:tcPr>
          <w:p w14:paraId="1F4E6881" w14:textId="3CCC8F8B" w:rsidR="00420EF7" w:rsidRPr="00420EF7" w:rsidRDefault="00420EF7" w:rsidP="00B3773B">
            <w:pPr>
              <w:rPr>
                <w:b/>
                <w:bCs/>
                <w:u w:val="single"/>
                <w:lang w:val="de-AT"/>
              </w:rPr>
            </w:pPr>
            <w:r w:rsidRPr="00420EF7">
              <w:rPr>
                <w:rStyle w:val="Strong"/>
                <w:u w:val="single"/>
              </w:rPr>
              <w:t xml:space="preserve">Session, </w:t>
            </w:r>
            <w:r w:rsidRPr="00420EF7">
              <w:rPr>
                <w:rStyle w:val="Strong"/>
                <w:u w:val="single"/>
                <w:lang w:val="de-AT"/>
              </w:rPr>
              <w:t>Date</w:t>
            </w:r>
            <w:r w:rsidRPr="00420EF7">
              <w:rPr>
                <w:rStyle w:val="Strong"/>
                <w:u w:val="single"/>
              </w:rPr>
              <w:t xml:space="preserve"> &amp; </w:t>
            </w:r>
            <w:r w:rsidRPr="00420EF7">
              <w:rPr>
                <w:rStyle w:val="Strong"/>
                <w:u w:val="single"/>
                <w:lang w:val="de-AT"/>
              </w:rPr>
              <w:t>Title</w:t>
            </w:r>
          </w:p>
        </w:tc>
        <w:tc>
          <w:tcPr>
            <w:tcW w:w="5384" w:type="dxa"/>
            <w:vAlign w:val="center"/>
            <w:hideMark/>
          </w:tcPr>
          <w:p w14:paraId="1E0BD7D6" w14:textId="77777777" w:rsidR="00420EF7" w:rsidRPr="00420EF7" w:rsidRDefault="00420EF7" w:rsidP="00B3773B">
            <w:pPr>
              <w:jc w:val="center"/>
              <w:rPr>
                <w:b/>
                <w:bCs/>
                <w:u w:val="single"/>
              </w:rPr>
            </w:pPr>
            <w:r w:rsidRPr="00420EF7">
              <w:rPr>
                <w:rStyle w:val="Strong"/>
                <w:u w:val="single"/>
              </w:rPr>
              <w:t>Readings</w:t>
            </w:r>
          </w:p>
        </w:tc>
      </w:tr>
      <w:tr w:rsidR="00420EF7" w14:paraId="5E0087A0" w14:textId="77777777" w:rsidTr="00B3773B">
        <w:trPr>
          <w:tblCellSpacing w:w="15" w:type="dxa"/>
        </w:trPr>
        <w:tc>
          <w:tcPr>
            <w:tcW w:w="3555" w:type="dxa"/>
            <w:vAlign w:val="center"/>
            <w:hideMark/>
          </w:tcPr>
          <w:p w14:paraId="5D55B93F" w14:textId="77777777" w:rsidR="00420EF7" w:rsidRDefault="00420EF7">
            <w:r>
              <w:rPr>
                <w:rStyle w:val="Strong"/>
              </w:rPr>
              <w:t>Session 1: 15.09.2025, 15:40–17:20</w:t>
            </w:r>
            <w:r>
              <w:t xml:space="preserve"> Introduction to Public Choice</w:t>
            </w:r>
          </w:p>
        </w:tc>
        <w:tc>
          <w:tcPr>
            <w:tcW w:w="5384" w:type="dxa"/>
            <w:vAlign w:val="center"/>
            <w:hideMark/>
          </w:tcPr>
          <w:p w14:paraId="3CB09994" w14:textId="53302A1E" w:rsidR="00420EF7" w:rsidRPr="00420EF7" w:rsidRDefault="00420EF7" w:rsidP="00B3773B">
            <w:pPr>
              <w:jc w:val="both"/>
              <w:rPr>
                <w:lang w:val="de-AT"/>
              </w:rPr>
            </w:pPr>
          </w:p>
        </w:tc>
      </w:tr>
      <w:tr w:rsidR="00420EF7" w14:paraId="62D2A9DA" w14:textId="77777777" w:rsidTr="00B3773B">
        <w:trPr>
          <w:tblCellSpacing w:w="15" w:type="dxa"/>
        </w:trPr>
        <w:tc>
          <w:tcPr>
            <w:tcW w:w="3555" w:type="dxa"/>
            <w:vAlign w:val="center"/>
            <w:hideMark/>
          </w:tcPr>
          <w:p w14:paraId="555FDC31" w14:textId="77777777" w:rsidR="00420EF7" w:rsidRDefault="00420EF7">
            <w:r>
              <w:rPr>
                <w:rStyle w:val="Strong"/>
              </w:rPr>
              <w:t>Session 2: 22.09.2025, 15:40–17:20</w:t>
            </w:r>
            <w:r>
              <w:t xml:space="preserve"> Origins of the state and collective decision-making</w:t>
            </w:r>
          </w:p>
        </w:tc>
        <w:tc>
          <w:tcPr>
            <w:tcW w:w="5384" w:type="dxa"/>
            <w:vAlign w:val="center"/>
            <w:hideMark/>
          </w:tcPr>
          <w:p w14:paraId="598F2030" w14:textId="77777777" w:rsidR="00420EF7" w:rsidRDefault="00420EF7" w:rsidP="00B3773B">
            <w:pPr>
              <w:jc w:val="both"/>
            </w:pPr>
            <w:r>
              <w:t xml:space="preserve">Mueller (2003) </w:t>
            </w:r>
            <w:r>
              <w:rPr>
                <w:rStyle w:val="Emphasis"/>
              </w:rPr>
              <w:t>Public Choice III</w:t>
            </w:r>
            <w:r>
              <w:t>, Chapters 2 and 3</w:t>
            </w:r>
          </w:p>
        </w:tc>
      </w:tr>
      <w:tr w:rsidR="00420EF7" w14:paraId="1AF51823" w14:textId="77777777" w:rsidTr="00B3773B">
        <w:trPr>
          <w:tblCellSpacing w:w="15" w:type="dxa"/>
        </w:trPr>
        <w:tc>
          <w:tcPr>
            <w:tcW w:w="3555" w:type="dxa"/>
            <w:vAlign w:val="center"/>
            <w:hideMark/>
          </w:tcPr>
          <w:p w14:paraId="46CAF6EC" w14:textId="77777777" w:rsidR="00420EF7" w:rsidRDefault="00420EF7">
            <w:r>
              <w:rPr>
                <w:rStyle w:val="Strong"/>
              </w:rPr>
              <w:t>Session 3: 29.09.2025, 15:40–17:20</w:t>
            </w:r>
            <w:r>
              <w:t xml:space="preserve"> Economic theory of democracy – Downs Model: theory and empirical applications</w:t>
            </w:r>
          </w:p>
        </w:tc>
        <w:tc>
          <w:tcPr>
            <w:tcW w:w="5384" w:type="dxa"/>
            <w:vAlign w:val="center"/>
            <w:hideMark/>
          </w:tcPr>
          <w:p w14:paraId="736F96B2" w14:textId="77777777" w:rsidR="00420EF7" w:rsidRDefault="00420EF7" w:rsidP="00B3773B">
            <w:pPr>
              <w:jc w:val="both"/>
            </w:pPr>
            <w:r>
              <w:t xml:space="preserve">Mueller (2003) </w:t>
            </w:r>
            <w:r>
              <w:rPr>
                <w:rStyle w:val="Emphasis"/>
              </w:rPr>
              <w:t>Public Choice III</w:t>
            </w:r>
            <w:r>
              <w:t>, Chapters 5 and 6</w:t>
            </w:r>
          </w:p>
        </w:tc>
      </w:tr>
      <w:tr w:rsidR="00420EF7" w14:paraId="592E9922" w14:textId="77777777" w:rsidTr="00B3773B">
        <w:trPr>
          <w:tblCellSpacing w:w="15" w:type="dxa"/>
        </w:trPr>
        <w:tc>
          <w:tcPr>
            <w:tcW w:w="3555" w:type="dxa"/>
            <w:vAlign w:val="center"/>
            <w:hideMark/>
          </w:tcPr>
          <w:p w14:paraId="47ABB8BA" w14:textId="77777777" w:rsidR="00420EF7" w:rsidRDefault="00420EF7">
            <w:r>
              <w:rPr>
                <w:rStyle w:val="Strong"/>
              </w:rPr>
              <w:t>Session 4: 6.10.2025, 15:40–17:20</w:t>
            </w:r>
            <w:r>
              <w:t xml:space="preserve"> Economic theory of democracy – Downs Model (cont’d)</w:t>
            </w:r>
          </w:p>
        </w:tc>
        <w:tc>
          <w:tcPr>
            <w:tcW w:w="5384" w:type="dxa"/>
            <w:vAlign w:val="center"/>
            <w:hideMark/>
          </w:tcPr>
          <w:p w14:paraId="234A9171" w14:textId="77777777" w:rsidR="00B3773B" w:rsidRDefault="00420EF7" w:rsidP="00B3773B">
            <w:pPr>
              <w:jc w:val="both"/>
              <w:rPr>
                <w:lang w:val="de-AT"/>
              </w:rPr>
            </w:pPr>
            <w:r>
              <w:t xml:space="preserve">Mueller (2003) </w:t>
            </w:r>
            <w:r>
              <w:rPr>
                <w:rStyle w:val="Emphasis"/>
              </w:rPr>
              <w:t>Public Choice III</w:t>
            </w:r>
            <w:r>
              <w:t xml:space="preserve">, Chapters 11 and 12 </w:t>
            </w:r>
          </w:p>
          <w:p w14:paraId="507AB252" w14:textId="77777777" w:rsidR="00B3773B" w:rsidRDefault="00B3773B" w:rsidP="00B3773B">
            <w:pPr>
              <w:jc w:val="both"/>
              <w:rPr>
                <w:lang w:val="de-AT"/>
              </w:rPr>
            </w:pPr>
          </w:p>
          <w:p w14:paraId="38E05BC4" w14:textId="7EBA69D3" w:rsidR="00420EF7" w:rsidRDefault="00420EF7" w:rsidP="00B3773B">
            <w:pPr>
              <w:jc w:val="both"/>
              <w:rPr>
                <w:lang w:val="de-AT"/>
              </w:rPr>
            </w:pPr>
            <w:r>
              <w:t xml:space="preserve">Schofield, N. (2007). </w:t>
            </w:r>
            <w:r>
              <w:rPr>
                <w:rStyle w:val="Emphasis"/>
              </w:rPr>
              <w:t>The mean voter theorem: necessary and sufficient conditions for convergent equilibrium.</w:t>
            </w:r>
            <w:r>
              <w:t xml:space="preserve"> The Review of Economic Studies, 74(3), 965–980. </w:t>
            </w:r>
          </w:p>
          <w:p w14:paraId="046283C4" w14:textId="77777777" w:rsidR="00B3773B" w:rsidRPr="00B3773B" w:rsidRDefault="00B3773B" w:rsidP="00B3773B">
            <w:pPr>
              <w:jc w:val="both"/>
              <w:rPr>
                <w:lang w:val="de-AT"/>
              </w:rPr>
            </w:pPr>
          </w:p>
          <w:p w14:paraId="21DA9263" w14:textId="79CC9796" w:rsidR="00420EF7" w:rsidRDefault="00420EF7" w:rsidP="00B3773B">
            <w:pPr>
              <w:jc w:val="both"/>
            </w:pPr>
            <w:r>
              <w:t xml:space="preserve">Köppl-Turyna, M. (2014). </w:t>
            </w:r>
            <w:r>
              <w:rPr>
                <w:rStyle w:val="Emphasis"/>
              </w:rPr>
              <w:t>Campaign finance regulations and policy convergence: The role of interest groups and valence.</w:t>
            </w:r>
            <w:r>
              <w:t xml:space="preserve"> European Journal of Political Economy, 33, 1–19.</w:t>
            </w:r>
          </w:p>
        </w:tc>
      </w:tr>
      <w:tr w:rsidR="00420EF7" w14:paraId="4411344B" w14:textId="77777777" w:rsidTr="00B3773B">
        <w:trPr>
          <w:tblCellSpacing w:w="15" w:type="dxa"/>
        </w:trPr>
        <w:tc>
          <w:tcPr>
            <w:tcW w:w="3555" w:type="dxa"/>
            <w:vAlign w:val="center"/>
            <w:hideMark/>
          </w:tcPr>
          <w:p w14:paraId="6BB59DE4" w14:textId="77777777" w:rsidR="00420EF7" w:rsidRDefault="00420EF7">
            <w:r>
              <w:rPr>
                <w:rStyle w:val="Strong"/>
              </w:rPr>
              <w:t>Session 5: 13.10.2025, 15:40–17:20</w:t>
            </w:r>
            <w:r>
              <w:t xml:space="preserve"> The paradox of voting, rent-seeking</w:t>
            </w:r>
          </w:p>
        </w:tc>
        <w:tc>
          <w:tcPr>
            <w:tcW w:w="5384" w:type="dxa"/>
            <w:vAlign w:val="center"/>
            <w:hideMark/>
          </w:tcPr>
          <w:p w14:paraId="43DC1847" w14:textId="77777777" w:rsidR="00B3773B" w:rsidRDefault="00420EF7" w:rsidP="00B3773B">
            <w:pPr>
              <w:jc w:val="both"/>
              <w:rPr>
                <w:lang w:val="de-AT"/>
              </w:rPr>
            </w:pPr>
            <w:r>
              <w:t xml:space="preserve">Mueller (2003) </w:t>
            </w:r>
            <w:r>
              <w:rPr>
                <w:rStyle w:val="Emphasis"/>
              </w:rPr>
              <w:t>Public Choice III</w:t>
            </w:r>
            <w:r>
              <w:t xml:space="preserve">, Chapters 14 and 15 </w:t>
            </w:r>
          </w:p>
          <w:p w14:paraId="1E82C55A" w14:textId="77777777" w:rsidR="00B3773B" w:rsidRDefault="00B3773B" w:rsidP="00B3773B">
            <w:pPr>
              <w:jc w:val="both"/>
              <w:rPr>
                <w:lang w:val="de-AT"/>
              </w:rPr>
            </w:pPr>
          </w:p>
          <w:p w14:paraId="5327B765" w14:textId="77777777" w:rsidR="00B3773B" w:rsidRDefault="00420EF7" w:rsidP="00B3773B">
            <w:pPr>
              <w:jc w:val="both"/>
              <w:rPr>
                <w:lang w:val="de-AT"/>
              </w:rPr>
            </w:pPr>
            <w:r>
              <w:t xml:space="preserve">Tyran, J. R. (2004). </w:t>
            </w:r>
            <w:r>
              <w:rPr>
                <w:rStyle w:val="Emphasis"/>
              </w:rPr>
              <w:t>Voting when money and morals conflict: an experimental test of expressive voting.</w:t>
            </w:r>
            <w:r>
              <w:t xml:space="preserve"> Journal of Public Economics, 88(7-8), 1645–1664. </w:t>
            </w:r>
          </w:p>
          <w:p w14:paraId="42C95963" w14:textId="77777777" w:rsidR="00B3773B" w:rsidRDefault="00B3773B" w:rsidP="00B3773B">
            <w:pPr>
              <w:jc w:val="both"/>
              <w:rPr>
                <w:lang w:val="de-AT"/>
              </w:rPr>
            </w:pPr>
          </w:p>
          <w:p w14:paraId="6B51C0C6" w14:textId="35B38385" w:rsidR="00420EF7" w:rsidRDefault="00420EF7" w:rsidP="00B3773B">
            <w:pPr>
              <w:jc w:val="both"/>
              <w:rPr>
                <w:lang w:val="de-AT"/>
              </w:rPr>
            </w:pPr>
            <w:r>
              <w:lastRenderedPageBreak/>
              <w:t xml:space="preserve">François, A., &amp; Gergaud, O. (2019). </w:t>
            </w:r>
            <w:r>
              <w:rPr>
                <w:rStyle w:val="Emphasis"/>
              </w:rPr>
              <w:t>Is civic duty the solution to the paradox of voting?</w:t>
            </w:r>
            <w:r>
              <w:t xml:space="preserve"> Public Choice, 180(3), 257–283. </w:t>
            </w:r>
          </w:p>
          <w:p w14:paraId="0CDAF1B4" w14:textId="77777777" w:rsidR="00B3773B" w:rsidRDefault="00B3773B" w:rsidP="00B3773B">
            <w:pPr>
              <w:jc w:val="both"/>
              <w:rPr>
                <w:lang w:val="de-AT"/>
              </w:rPr>
            </w:pPr>
          </w:p>
          <w:p w14:paraId="2A1907FC" w14:textId="4176FD29" w:rsidR="00420EF7" w:rsidRDefault="00420EF7" w:rsidP="00B3773B">
            <w:pPr>
              <w:jc w:val="both"/>
              <w:rPr>
                <w:lang w:val="de-AT"/>
              </w:rPr>
            </w:pPr>
            <w:r>
              <w:t xml:space="preserve">Laband, D. N., &amp; Sophocleus, J. P. (2019). </w:t>
            </w:r>
            <w:r>
              <w:rPr>
                <w:rStyle w:val="Emphasis"/>
              </w:rPr>
              <w:t>Measuring rent-seeking.</w:t>
            </w:r>
            <w:r>
              <w:t xml:space="preserve"> Public Choice, 181, 49–69. </w:t>
            </w:r>
          </w:p>
          <w:p w14:paraId="66A34EF0" w14:textId="77777777" w:rsidR="00B3773B" w:rsidRDefault="00B3773B" w:rsidP="00B3773B">
            <w:pPr>
              <w:jc w:val="both"/>
              <w:rPr>
                <w:lang w:val="de-AT"/>
              </w:rPr>
            </w:pPr>
          </w:p>
          <w:p w14:paraId="31772D4A" w14:textId="467737C5" w:rsidR="00420EF7" w:rsidRDefault="00420EF7" w:rsidP="00B3773B">
            <w:pPr>
              <w:jc w:val="both"/>
            </w:pPr>
            <w:r>
              <w:t xml:space="preserve">Del Rosal, I. (2011). </w:t>
            </w:r>
            <w:r>
              <w:rPr>
                <w:rStyle w:val="Emphasis"/>
              </w:rPr>
              <w:t>The empirical measurement of rent‐seeking costs.</w:t>
            </w:r>
            <w:r>
              <w:t xml:space="preserve"> Journal of Economic Surveys, 25(2), 298–325.</w:t>
            </w:r>
          </w:p>
        </w:tc>
      </w:tr>
      <w:tr w:rsidR="00420EF7" w14:paraId="6C559A38" w14:textId="77777777" w:rsidTr="00B3773B">
        <w:trPr>
          <w:tblCellSpacing w:w="15" w:type="dxa"/>
        </w:trPr>
        <w:tc>
          <w:tcPr>
            <w:tcW w:w="3555" w:type="dxa"/>
            <w:vAlign w:val="center"/>
            <w:hideMark/>
          </w:tcPr>
          <w:p w14:paraId="630FF4DD" w14:textId="77777777" w:rsidR="00420EF7" w:rsidRDefault="00420EF7">
            <w:r>
              <w:rPr>
                <w:rStyle w:val="Strong"/>
              </w:rPr>
              <w:lastRenderedPageBreak/>
              <w:t>Session 6: 20.10.2025, 15:40–17:20</w:t>
            </w:r>
            <w:r>
              <w:t xml:space="preserve"> Economic theory of bureaucracy</w:t>
            </w:r>
          </w:p>
        </w:tc>
        <w:tc>
          <w:tcPr>
            <w:tcW w:w="5384" w:type="dxa"/>
            <w:vAlign w:val="center"/>
            <w:hideMark/>
          </w:tcPr>
          <w:p w14:paraId="3CAD3D08" w14:textId="77777777" w:rsidR="00420EF7" w:rsidRDefault="00420EF7" w:rsidP="00B3773B">
            <w:pPr>
              <w:jc w:val="both"/>
              <w:rPr>
                <w:lang w:val="de-AT"/>
              </w:rPr>
            </w:pPr>
            <w:r>
              <w:t xml:space="preserve">Mueller (2003) </w:t>
            </w:r>
            <w:r>
              <w:rPr>
                <w:rStyle w:val="Emphasis"/>
              </w:rPr>
              <w:t>Public Choice III</w:t>
            </w:r>
            <w:r>
              <w:t>, Chapter 16</w:t>
            </w:r>
          </w:p>
          <w:p w14:paraId="7631B765" w14:textId="45AF2876" w:rsidR="00420EF7" w:rsidRPr="00420EF7" w:rsidRDefault="00420EF7" w:rsidP="00B3773B">
            <w:pPr>
              <w:jc w:val="both"/>
              <w:rPr>
                <w:lang w:val="de-AT"/>
              </w:rPr>
            </w:pPr>
          </w:p>
        </w:tc>
      </w:tr>
      <w:tr w:rsidR="00420EF7" w14:paraId="155ABF03" w14:textId="77777777" w:rsidTr="00B3773B">
        <w:trPr>
          <w:tblCellSpacing w:w="15" w:type="dxa"/>
        </w:trPr>
        <w:tc>
          <w:tcPr>
            <w:tcW w:w="3555" w:type="dxa"/>
            <w:vAlign w:val="center"/>
            <w:hideMark/>
          </w:tcPr>
          <w:p w14:paraId="2B0A5234" w14:textId="77777777" w:rsidR="00420EF7" w:rsidRDefault="00420EF7">
            <w:r>
              <w:rPr>
                <w:rStyle w:val="Strong"/>
              </w:rPr>
              <w:t>Session 7: 3.11.2025, 15:40–17:20</w:t>
            </w:r>
            <w:r>
              <w:t xml:space="preserve"> The size of the government</w:t>
            </w:r>
          </w:p>
        </w:tc>
        <w:tc>
          <w:tcPr>
            <w:tcW w:w="5384" w:type="dxa"/>
            <w:vAlign w:val="center"/>
            <w:hideMark/>
          </w:tcPr>
          <w:p w14:paraId="19580743" w14:textId="77777777" w:rsidR="00B3773B" w:rsidRDefault="00420EF7" w:rsidP="00B3773B">
            <w:pPr>
              <w:jc w:val="both"/>
              <w:rPr>
                <w:lang w:val="de-AT"/>
              </w:rPr>
            </w:pPr>
            <w:r>
              <w:t xml:space="preserve">Mueller (2003) </w:t>
            </w:r>
            <w:r>
              <w:rPr>
                <w:rStyle w:val="Emphasis"/>
              </w:rPr>
              <w:t>Public Choice III</w:t>
            </w:r>
            <w:r>
              <w:t xml:space="preserve">, Chapter 21 </w:t>
            </w:r>
          </w:p>
          <w:p w14:paraId="6FF03E25" w14:textId="77777777" w:rsidR="00B3773B" w:rsidRDefault="00B3773B" w:rsidP="00B3773B">
            <w:pPr>
              <w:jc w:val="both"/>
              <w:rPr>
                <w:lang w:val="de-AT"/>
              </w:rPr>
            </w:pPr>
          </w:p>
          <w:p w14:paraId="1F54AEBF" w14:textId="611B509B" w:rsidR="00420EF7" w:rsidRDefault="00420EF7" w:rsidP="00B3773B">
            <w:pPr>
              <w:jc w:val="both"/>
              <w:rPr>
                <w:lang w:val="de-AT"/>
              </w:rPr>
            </w:pPr>
            <w:r>
              <w:t xml:space="preserve">Sausgruber, R., &amp; Tyran, J. R. (2005). </w:t>
            </w:r>
            <w:r>
              <w:rPr>
                <w:rStyle w:val="Emphasis"/>
              </w:rPr>
              <w:t>Testing the Mill hypothesis of fiscal illusion.</w:t>
            </w:r>
            <w:r>
              <w:t xml:space="preserve"> Public Choice, 122(1), 39–68. </w:t>
            </w:r>
          </w:p>
          <w:p w14:paraId="33DC84D9" w14:textId="77777777" w:rsidR="00B3773B" w:rsidRDefault="00B3773B" w:rsidP="00B3773B">
            <w:pPr>
              <w:jc w:val="both"/>
              <w:rPr>
                <w:lang w:val="de-AT"/>
              </w:rPr>
            </w:pPr>
          </w:p>
          <w:p w14:paraId="4600521B" w14:textId="6E8D0A99" w:rsidR="00420EF7" w:rsidRDefault="00420EF7" w:rsidP="00B3773B">
            <w:pPr>
              <w:jc w:val="both"/>
            </w:pPr>
            <w:r>
              <w:t xml:space="preserve">Sausgruber, R., &amp; Tyran, J. R. (2011). </w:t>
            </w:r>
            <w:r>
              <w:rPr>
                <w:rStyle w:val="Emphasis"/>
              </w:rPr>
              <w:t>Are we taxing ourselves?: How deliberation and experience shape voting on taxes.</w:t>
            </w:r>
            <w:r>
              <w:t xml:space="preserve"> Journal of Public Economics, 95(1-2), 164–176.</w:t>
            </w:r>
          </w:p>
        </w:tc>
      </w:tr>
      <w:tr w:rsidR="00420EF7" w14:paraId="4C1A9369" w14:textId="77777777" w:rsidTr="00B3773B">
        <w:trPr>
          <w:tblCellSpacing w:w="15" w:type="dxa"/>
        </w:trPr>
        <w:tc>
          <w:tcPr>
            <w:tcW w:w="3555" w:type="dxa"/>
            <w:vAlign w:val="center"/>
            <w:hideMark/>
          </w:tcPr>
          <w:p w14:paraId="555E8A77" w14:textId="77777777" w:rsidR="00420EF7" w:rsidRDefault="00420EF7">
            <w:r>
              <w:rPr>
                <w:rStyle w:val="Strong"/>
              </w:rPr>
              <w:t>Session 8: 10.11.2025, 15:40–17:20</w:t>
            </w:r>
            <w:r>
              <w:t xml:space="preserve"> Political competition and economic outcomes; political budget cycles</w:t>
            </w:r>
          </w:p>
        </w:tc>
        <w:tc>
          <w:tcPr>
            <w:tcW w:w="5384" w:type="dxa"/>
            <w:vAlign w:val="center"/>
            <w:hideMark/>
          </w:tcPr>
          <w:p w14:paraId="33FA5286" w14:textId="77777777" w:rsidR="00B3773B" w:rsidRDefault="00420EF7" w:rsidP="00B3773B">
            <w:pPr>
              <w:jc w:val="both"/>
              <w:rPr>
                <w:lang w:val="de-AT"/>
              </w:rPr>
            </w:pPr>
            <w:r>
              <w:t xml:space="preserve">Mueller (2003) </w:t>
            </w:r>
            <w:r>
              <w:rPr>
                <w:rStyle w:val="Emphasis"/>
              </w:rPr>
              <w:t>Public Choice III</w:t>
            </w:r>
            <w:r>
              <w:t xml:space="preserve">, Chapter 19 </w:t>
            </w:r>
          </w:p>
          <w:p w14:paraId="26710D20" w14:textId="77777777" w:rsidR="00B3773B" w:rsidRDefault="00B3773B" w:rsidP="00B3773B">
            <w:pPr>
              <w:jc w:val="both"/>
              <w:rPr>
                <w:lang w:val="de-AT"/>
              </w:rPr>
            </w:pPr>
          </w:p>
          <w:p w14:paraId="672E0F3A" w14:textId="77777777" w:rsidR="00B3773B" w:rsidRDefault="00420EF7" w:rsidP="00B3773B">
            <w:pPr>
              <w:jc w:val="both"/>
              <w:rPr>
                <w:lang w:val="de-AT"/>
              </w:rPr>
            </w:pPr>
            <w:r>
              <w:t xml:space="preserve">Nordhaus, W. D. (1975). </w:t>
            </w:r>
            <w:r>
              <w:rPr>
                <w:rStyle w:val="Emphasis"/>
              </w:rPr>
              <w:t>The political business cycle.</w:t>
            </w:r>
            <w:r>
              <w:t xml:space="preserve"> The Review of Economic Studies, 42(2), 169–190. </w:t>
            </w:r>
          </w:p>
          <w:p w14:paraId="5F086846" w14:textId="77777777" w:rsidR="00B3773B" w:rsidRDefault="00B3773B" w:rsidP="00B3773B">
            <w:pPr>
              <w:jc w:val="both"/>
              <w:rPr>
                <w:lang w:val="de-AT"/>
              </w:rPr>
            </w:pPr>
          </w:p>
          <w:p w14:paraId="0B9734BA" w14:textId="6D0B2146" w:rsidR="00420EF7" w:rsidRDefault="00420EF7" w:rsidP="00B3773B">
            <w:pPr>
              <w:jc w:val="both"/>
              <w:rPr>
                <w:lang w:val="de-AT"/>
              </w:rPr>
            </w:pPr>
            <w:r>
              <w:t xml:space="preserve">Rogoff, K. S. (1987). </w:t>
            </w:r>
            <w:r>
              <w:rPr>
                <w:rStyle w:val="Emphasis"/>
              </w:rPr>
              <w:t>Equilibrium political budget cycles.</w:t>
            </w:r>
            <w:r>
              <w:t xml:space="preserve"> </w:t>
            </w:r>
          </w:p>
          <w:p w14:paraId="558118DB" w14:textId="77777777" w:rsidR="00B3773B" w:rsidRDefault="00B3773B" w:rsidP="00B3773B">
            <w:pPr>
              <w:jc w:val="both"/>
              <w:rPr>
                <w:lang w:val="de-AT"/>
              </w:rPr>
            </w:pPr>
          </w:p>
          <w:p w14:paraId="077764FD" w14:textId="60952A35" w:rsidR="00420EF7" w:rsidRDefault="00420EF7" w:rsidP="00B3773B">
            <w:pPr>
              <w:jc w:val="both"/>
              <w:rPr>
                <w:lang w:val="de-AT"/>
              </w:rPr>
            </w:pPr>
            <w:r>
              <w:t xml:space="preserve">De Haan, J., &amp; Klomp, J. (2013). </w:t>
            </w:r>
            <w:r>
              <w:rPr>
                <w:rStyle w:val="Emphasis"/>
              </w:rPr>
              <w:t>Conditional political budget cycles: a review of recent evidence.</w:t>
            </w:r>
            <w:r>
              <w:t xml:space="preserve"> Public Choice, 157, 387–410. </w:t>
            </w:r>
          </w:p>
          <w:p w14:paraId="1CE97D8E" w14:textId="77777777" w:rsidR="00B3773B" w:rsidRDefault="00B3773B" w:rsidP="00B3773B">
            <w:pPr>
              <w:jc w:val="both"/>
              <w:rPr>
                <w:lang w:val="de-AT"/>
              </w:rPr>
            </w:pPr>
          </w:p>
          <w:p w14:paraId="1F4F7E44" w14:textId="54A36F16" w:rsidR="00420EF7" w:rsidRDefault="00420EF7" w:rsidP="00B3773B">
            <w:pPr>
              <w:jc w:val="both"/>
              <w:rPr>
                <w:lang w:val="de-AT"/>
              </w:rPr>
            </w:pPr>
            <w:r>
              <w:t xml:space="preserve">Veiga, L. G., Efthyvoulou, G., &amp; Morozumi, A. (2024). </w:t>
            </w:r>
            <w:r>
              <w:rPr>
                <w:rStyle w:val="Emphasis"/>
              </w:rPr>
              <w:t>Political Budget Cycles.</w:t>
            </w:r>
            <w:r>
              <w:t xml:space="preserve"> In </w:t>
            </w:r>
            <w:r>
              <w:rPr>
                <w:rStyle w:val="Emphasis"/>
              </w:rPr>
              <w:t>The Oxford Handbook of Time and Politics</w:t>
            </w:r>
            <w:r>
              <w:t xml:space="preserve">, 243. </w:t>
            </w:r>
          </w:p>
          <w:p w14:paraId="5A98BC39" w14:textId="77777777" w:rsidR="00B3773B" w:rsidRDefault="00B3773B" w:rsidP="00B3773B">
            <w:pPr>
              <w:jc w:val="both"/>
              <w:rPr>
                <w:lang w:val="de-AT"/>
              </w:rPr>
            </w:pPr>
          </w:p>
          <w:p w14:paraId="26F2CFCC" w14:textId="44826CE7" w:rsidR="00420EF7" w:rsidRDefault="00420EF7" w:rsidP="00B3773B">
            <w:pPr>
              <w:jc w:val="both"/>
            </w:pPr>
            <w:r>
              <w:t>Köppl</w:t>
            </w:r>
            <w:r w:rsidRPr="00420EF7">
              <w:rPr>
                <w:lang w:val="pl-PL"/>
              </w:rPr>
              <w:t>-</w:t>
            </w:r>
            <w:r>
              <w:t xml:space="preserve">Turyna, M., Kula, G., Balmas, A., &amp; Waclawska, K. (2016). </w:t>
            </w:r>
            <w:r>
              <w:rPr>
                <w:rStyle w:val="Emphasis"/>
              </w:rPr>
              <w:t>The effects of fiscal decentralisation on the strength of political budget cycles in local expenditure.</w:t>
            </w:r>
            <w:r>
              <w:t xml:space="preserve"> Local Government Studies, 42(5), 785–820.</w:t>
            </w:r>
          </w:p>
        </w:tc>
      </w:tr>
      <w:tr w:rsidR="00420EF7" w14:paraId="0940EF20" w14:textId="77777777" w:rsidTr="00B3773B">
        <w:trPr>
          <w:tblCellSpacing w:w="15" w:type="dxa"/>
        </w:trPr>
        <w:tc>
          <w:tcPr>
            <w:tcW w:w="3555" w:type="dxa"/>
            <w:vAlign w:val="center"/>
            <w:hideMark/>
          </w:tcPr>
          <w:p w14:paraId="3295F5DE" w14:textId="77777777" w:rsidR="00420EF7" w:rsidRDefault="00420EF7">
            <w:r>
              <w:rPr>
                <w:rStyle w:val="Strong"/>
              </w:rPr>
              <w:t>Session 9: 17.11.2025, 15:40–17:20</w:t>
            </w:r>
            <w:r>
              <w:t xml:space="preserve"> Federalism and intergovernmental relations / Interest Groups and Lobbying</w:t>
            </w:r>
          </w:p>
        </w:tc>
        <w:tc>
          <w:tcPr>
            <w:tcW w:w="5384" w:type="dxa"/>
            <w:vAlign w:val="center"/>
            <w:hideMark/>
          </w:tcPr>
          <w:p w14:paraId="3DC0E5A3" w14:textId="77777777" w:rsidR="00420EF7" w:rsidRDefault="00420EF7" w:rsidP="00B3773B">
            <w:pPr>
              <w:jc w:val="both"/>
              <w:rPr>
                <w:lang w:val="de-AT"/>
              </w:rPr>
            </w:pPr>
            <w:r>
              <w:t xml:space="preserve">Mueller (2003) </w:t>
            </w:r>
            <w:r>
              <w:rPr>
                <w:rStyle w:val="Emphasis"/>
              </w:rPr>
              <w:t>Public Choice III</w:t>
            </w:r>
            <w:r>
              <w:t xml:space="preserve">, Chapter 10 </w:t>
            </w:r>
          </w:p>
          <w:p w14:paraId="4942A7D7" w14:textId="77777777" w:rsidR="00B3773B" w:rsidRDefault="00B3773B" w:rsidP="00B3773B">
            <w:pPr>
              <w:jc w:val="both"/>
              <w:rPr>
                <w:lang w:val="de-AT"/>
              </w:rPr>
            </w:pPr>
          </w:p>
          <w:p w14:paraId="3D8966B6" w14:textId="3079BC89" w:rsidR="00420EF7" w:rsidRDefault="00420EF7" w:rsidP="00B3773B">
            <w:pPr>
              <w:jc w:val="both"/>
              <w:rPr>
                <w:lang w:val="de-AT"/>
              </w:rPr>
            </w:pPr>
            <w:r>
              <w:t xml:space="preserve">Fisher, R.C. (2022). </w:t>
            </w:r>
            <w:r>
              <w:rPr>
                <w:rStyle w:val="Emphasis"/>
              </w:rPr>
              <w:t>State and Local Public Finance</w:t>
            </w:r>
            <w:r>
              <w:t xml:space="preserve"> (5th ed.). Routledge. </w:t>
            </w:r>
          </w:p>
          <w:p w14:paraId="47B36B81" w14:textId="77777777" w:rsidR="00420EF7" w:rsidRDefault="00420EF7" w:rsidP="00B3773B">
            <w:pPr>
              <w:jc w:val="both"/>
              <w:rPr>
                <w:lang w:val="de-AT"/>
              </w:rPr>
            </w:pPr>
          </w:p>
          <w:p w14:paraId="546AB9F9" w14:textId="77777777" w:rsidR="00420EF7" w:rsidRDefault="00420EF7" w:rsidP="00B3773B">
            <w:pPr>
              <w:jc w:val="both"/>
              <w:rPr>
                <w:lang w:val="de-AT"/>
              </w:rPr>
            </w:pPr>
            <w:r>
              <w:lastRenderedPageBreak/>
              <w:t xml:space="preserve">Mueller (2003) </w:t>
            </w:r>
            <w:r>
              <w:rPr>
                <w:rStyle w:val="Emphasis"/>
              </w:rPr>
              <w:t>Public Choice III</w:t>
            </w:r>
            <w:r>
              <w:t xml:space="preserve">, Chapter 20 </w:t>
            </w:r>
          </w:p>
          <w:p w14:paraId="7D912EC6" w14:textId="77777777" w:rsidR="00B3773B" w:rsidRDefault="00B3773B" w:rsidP="00B3773B">
            <w:pPr>
              <w:jc w:val="both"/>
              <w:rPr>
                <w:lang w:val="de-AT"/>
              </w:rPr>
            </w:pPr>
          </w:p>
          <w:p w14:paraId="0B6E8FEF" w14:textId="1D2DB54E" w:rsidR="00420EF7" w:rsidRDefault="00420EF7" w:rsidP="00B3773B">
            <w:pPr>
              <w:jc w:val="both"/>
              <w:rPr>
                <w:lang w:val="de-AT"/>
              </w:rPr>
            </w:pPr>
            <w:r>
              <w:t xml:space="preserve">Blanga-Gubbay, M., Conconi, P., &amp; Parenti, M. (2025). </w:t>
            </w:r>
            <w:r>
              <w:rPr>
                <w:rStyle w:val="Emphasis"/>
              </w:rPr>
              <w:t>Lobbying for globalisation.</w:t>
            </w:r>
            <w:r>
              <w:t xml:space="preserve"> The Economic Journal, 135(666), 487–518. </w:t>
            </w:r>
          </w:p>
          <w:p w14:paraId="66BD07B8" w14:textId="77777777" w:rsidR="00B3773B" w:rsidRDefault="00B3773B" w:rsidP="00B3773B">
            <w:pPr>
              <w:jc w:val="both"/>
              <w:rPr>
                <w:lang w:val="de-AT"/>
              </w:rPr>
            </w:pPr>
          </w:p>
          <w:p w14:paraId="3E060D81" w14:textId="45BC6009" w:rsidR="00420EF7" w:rsidRDefault="00420EF7" w:rsidP="00B3773B">
            <w:pPr>
              <w:jc w:val="both"/>
            </w:pPr>
            <w:r>
              <w:t xml:space="preserve">Polk, A. (2024). </w:t>
            </w:r>
            <w:r>
              <w:rPr>
                <w:rStyle w:val="Emphasis"/>
              </w:rPr>
              <w:t>Lobbying: A Public Choice Perspective.</w:t>
            </w:r>
            <w:r>
              <w:t xml:space="preserve"> In </w:t>
            </w:r>
            <w:r>
              <w:rPr>
                <w:rStyle w:val="Emphasis"/>
              </w:rPr>
              <w:t>The Political Economy of Lobbying: Channels of Influence and their Regulation</w:t>
            </w:r>
            <w:r>
              <w:t xml:space="preserve"> (pp. 13–39). Cham: Springer International Publishing.</w:t>
            </w:r>
          </w:p>
        </w:tc>
      </w:tr>
      <w:tr w:rsidR="00420EF7" w14:paraId="69556630" w14:textId="77777777" w:rsidTr="00B3773B">
        <w:trPr>
          <w:tblCellSpacing w:w="15" w:type="dxa"/>
        </w:trPr>
        <w:tc>
          <w:tcPr>
            <w:tcW w:w="3555" w:type="dxa"/>
            <w:vAlign w:val="center"/>
            <w:hideMark/>
          </w:tcPr>
          <w:p w14:paraId="1B224943" w14:textId="77777777" w:rsidR="00420EF7" w:rsidRDefault="00420EF7">
            <w:r>
              <w:rPr>
                <w:rStyle w:val="Strong"/>
              </w:rPr>
              <w:lastRenderedPageBreak/>
              <w:t>Session 10: 24.11.2025, 15:40–17:20</w:t>
            </w:r>
            <w:r>
              <w:t xml:space="preserve"> Interest Groups and Lobbying (cont’d) / Constitutional political economy</w:t>
            </w:r>
          </w:p>
        </w:tc>
        <w:tc>
          <w:tcPr>
            <w:tcW w:w="5384" w:type="dxa"/>
            <w:vAlign w:val="center"/>
            <w:hideMark/>
          </w:tcPr>
          <w:p w14:paraId="074564AE" w14:textId="5FFC7DD9" w:rsidR="001D3C22" w:rsidRDefault="001D3C22" w:rsidP="00B3773B">
            <w:pPr>
              <w:jc w:val="both"/>
              <w:rPr>
                <w:lang w:val="de-AT"/>
              </w:rPr>
            </w:pPr>
            <w:r w:rsidRPr="001D3C22">
              <w:rPr>
                <w:lang w:val="en-US"/>
              </w:rPr>
              <w:t xml:space="preserve">Stigler, George J. (1971). The theory of economic regulation. Bell Journal of Economics and Management Science. </w:t>
            </w:r>
            <w:r w:rsidRPr="001D3C22">
              <w:rPr>
                <w:lang w:val="de-AT"/>
              </w:rPr>
              <w:t>2(1), 3-21.</w:t>
            </w:r>
          </w:p>
          <w:p w14:paraId="486BE707" w14:textId="77777777" w:rsidR="001D3C22" w:rsidRDefault="001D3C22" w:rsidP="00B3773B">
            <w:pPr>
              <w:jc w:val="both"/>
            </w:pPr>
          </w:p>
          <w:p w14:paraId="0D615062" w14:textId="0C342B40" w:rsidR="00420EF7" w:rsidRPr="001D3C22" w:rsidRDefault="00420EF7" w:rsidP="00B3773B">
            <w:pPr>
              <w:jc w:val="both"/>
              <w:rPr>
                <w:lang w:val="de-AT"/>
              </w:rPr>
            </w:pPr>
            <w:r>
              <w:t xml:space="preserve">Voigt, S. (2021). </w:t>
            </w:r>
            <w:r>
              <w:rPr>
                <w:rStyle w:val="Emphasis"/>
              </w:rPr>
              <w:t>Constitutional Economics: a Primer.</w:t>
            </w:r>
            <w:r>
              <w:t xml:space="preserve"> </w:t>
            </w:r>
            <w:r w:rsidR="00B3773B">
              <w:rPr>
                <w:lang w:val="de-AT"/>
              </w:rPr>
              <w:t>Chapter 1</w:t>
            </w:r>
            <w:r>
              <w:t xml:space="preserve"> </w:t>
            </w:r>
          </w:p>
        </w:tc>
      </w:tr>
      <w:tr w:rsidR="00420EF7" w14:paraId="38F6381E" w14:textId="77777777" w:rsidTr="00B3773B">
        <w:trPr>
          <w:tblCellSpacing w:w="15" w:type="dxa"/>
        </w:trPr>
        <w:tc>
          <w:tcPr>
            <w:tcW w:w="3555" w:type="dxa"/>
            <w:vAlign w:val="center"/>
            <w:hideMark/>
          </w:tcPr>
          <w:p w14:paraId="0C3E2E2F" w14:textId="77777777" w:rsidR="00420EF7" w:rsidRDefault="00420EF7">
            <w:r>
              <w:rPr>
                <w:rStyle w:val="Strong"/>
              </w:rPr>
              <w:t>Session 11: 1.12.2025, 15:40–17:20</w:t>
            </w:r>
            <w:r>
              <w:t xml:space="preserve"> Constitutional political economy (cont’d)</w:t>
            </w:r>
          </w:p>
        </w:tc>
        <w:tc>
          <w:tcPr>
            <w:tcW w:w="5384" w:type="dxa"/>
            <w:vAlign w:val="center"/>
            <w:hideMark/>
          </w:tcPr>
          <w:p w14:paraId="3FB57C69" w14:textId="632005C4" w:rsidR="00420EF7" w:rsidRDefault="00420EF7" w:rsidP="00B3773B">
            <w:pPr>
              <w:jc w:val="both"/>
              <w:rPr>
                <w:lang w:val="de-AT"/>
              </w:rPr>
            </w:pPr>
            <w:r>
              <w:t xml:space="preserve">Voigt, S. </w:t>
            </w:r>
            <w:r>
              <w:rPr>
                <w:rStyle w:val="Emphasis"/>
              </w:rPr>
              <w:t>Constitutional Economics: a Primer.</w:t>
            </w:r>
            <w:r>
              <w:t xml:space="preserve"> </w:t>
            </w:r>
            <w:r w:rsidR="00B3773B">
              <w:rPr>
                <w:lang w:val="de-AT"/>
              </w:rPr>
              <w:t>Chapter 3</w:t>
            </w:r>
            <w:r>
              <w:t xml:space="preserve"> </w:t>
            </w:r>
          </w:p>
          <w:p w14:paraId="6B795A7A" w14:textId="77777777" w:rsidR="00B3773B" w:rsidRDefault="00B3773B" w:rsidP="00B3773B">
            <w:pPr>
              <w:jc w:val="both"/>
              <w:rPr>
                <w:lang w:val="de-AT"/>
              </w:rPr>
            </w:pPr>
          </w:p>
          <w:p w14:paraId="382D58B0" w14:textId="7CDDFE7F" w:rsidR="00420EF7" w:rsidRDefault="00420EF7" w:rsidP="00B3773B">
            <w:pPr>
              <w:jc w:val="both"/>
              <w:rPr>
                <w:lang w:val="de-AT"/>
              </w:rPr>
            </w:pPr>
            <w:r>
              <w:t xml:space="preserve">Kantorowicz, J., &amp; Köppl–Turyna, M. (2019). </w:t>
            </w:r>
            <w:r>
              <w:rPr>
                <w:rStyle w:val="Emphasis"/>
              </w:rPr>
              <w:t>Disentangling the fiscal effects of local constitutions.</w:t>
            </w:r>
            <w:r>
              <w:t xml:space="preserve"> Journal of Economic Behavior &amp; Organization, 163, 63–87. </w:t>
            </w:r>
          </w:p>
          <w:p w14:paraId="35642C6B" w14:textId="77777777" w:rsidR="00B3773B" w:rsidRDefault="00B3773B" w:rsidP="00B3773B">
            <w:pPr>
              <w:jc w:val="both"/>
              <w:rPr>
                <w:lang w:val="de-AT"/>
              </w:rPr>
            </w:pPr>
          </w:p>
          <w:p w14:paraId="487E8662" w14:textId="2990DC67" w:rsidR="00420EF7" w:rsidRDefault="00420EF7" w:rsidP="00B3773B">
            <w:pPr>
              <w:jc w:val="both"/>
            </w:pPr>
            <w:r>
              <w:t xml:space="preserve">Köppl–Turyna, M., &amp; Pitlik, H. (2018). </w:t>
            </w:r>
            <w:r>
              <w:rPr>
                <w:rStyle w:val="Emphasis"/>
              </w:rPr>
              <w:t>Do equalization payments affect subnational borrowing? Evidence from regression discontinuity.</w:t>
            </w:r>
            <w:r>
              <w:t xml:space="preserve"> European Journal of Political Economy, 53, 84–108.</w:t>
            </w:r>
          </w:p>
        </w:tc>
      </w:tr>
      <w:tr w:rsidR="00420EF7" w14:paraId="6A1E6AA1" w14:textId="77777777" w:rsidTr="00B3773B">
        <w:trPr>
          <w:tblCellSpacing w:w="15" w:type="dxa"/>
        </w:trPr>
        <w:tc>
          <w:tcPr>
            <w:tcW w:w="3555" w:type="dxa"/>
            <w:vAlign w:val="center"/>
            <w:hideMark/>
          </w:tcPr>
          <w:p w14:paraId="58D39A8F" w14:textId="77777777" w:rsidR="00420EF7" w:rsidRDefault="00420EF7">
            <w:r>
              <w:rPr>
                <w:rStyle w:val="Strong"/>
              </w:rPr>
              <w:t>Session 12: 5.12.2025, 08:50–10:20</w:t>
            </w:r>
            <w:r>
              <w:t xml:space="preserve"> What have we learned? Real-life applications &amp; case studies</w:t>
            </w:r>
          </w:p>
        </w:tc>
        <w:tc>
          <w:tcPr>
            <w:tcW w:w="5384" w:type="dxa"/>
            <w:vAlign w:val="center"/>
            <w:hideMark/>
          </w:tcPr>
          <w:p w14:paraId="48DD3A9D" w14:textId="3EB01933" w:rsidR="00420EF7" w:rsidRPr="00420EF7" w:rsidRDefault="00420EF7" w:rsidP="00B3773B">
            <w:pPr>
              <w:jc w:val="both"/>
              <w:rPr>
                <w:lang w:val="de-AT"/>
              </w:rPr>
            </w:pPr>
          </w:p>
        </w:tc>
      </w:tr>
    </w:tbl>
    <w:p w14:paraId="2A0ED8D9" w14:textId="50773383" w:rsidR="00174ECC" w:rsidRPr="00C55CAC" w:rsidRDefault="00174ECC" w:rsidP="00B3773B">
      <w:pPr>
        <w:pStyle w:val="paragraph"/>
        <w:rPr>
          <w:rStyle w:val="normaltextrun"/>
          <w:b/>
          <w:bCs/>
          <w:i/>
          <w:iCs/>
        </w:rPr>
      </w:pPr>
    </w:p>
    <w:p w14:paraId="20F9CAFD" w14:textId="77777777" w:rsidR="00174ECC" w:rsidRDefault="00174ECC" w:rsidP="00E0241D">
      <w:pPr>
        <w:pStyle w:val="paragraph"/>
      </w:pPr>
    </w:p>
    <w:sectPr w:rsidR="00174ECC" w:rsidSect="00F10F9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09DA"/>
    <w:multiLevelType w:val="multilevel"/>
    <w:tmpl w:val="207A72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545E"/>
    <w:multiLevelType w:val="multilevel"/>
    <w:tmpl w:val="A41C4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64F49"/>
    <w:multiLevelType w:val="multilevel"/>
    <w:tmpl w:val="D08E6E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B355C"/>
    <w:multiLevelType w:val="multilevel"/>
    <w:tmpl w:val="6F86DD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2621DD"/>
    <w:multiLevelType w:val="multilevel"/>
    <w:tmpl w:val="A33A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9F4717"/>
    <w:multiLevelType w:val="multilevel"/>
    <w:tmpl w:val="024A16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4310C"/>
    <w:multiLevelType w:val="multilevel"/>
    <w:tmpl w:val="B0D45C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C27DB"/>
    <w:multiLevelType w:val="multilevel"/>
    <w:tmpl w:val="8A927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807A1"/>
    <w:multiLevelType w:val="multilevel"/>
    <w:tmpl w:val="CEC8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F343B7"/>
    <w:multiLevelType w:val="multilevel"/>
    <w:tmpl w:val="05C6B6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E45907"/>
    <w:multiLevelType w:val="multilevel"/>
    <w:tmpl w:val="373A1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C222B"/>
    <w:multiLevelType w:val="multilevel"/>
    <w:tmpl w:val="0130F6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5D09C9"/>
    <w:multiLevelType w:val="multilevel"/>
    <w:tmpl w:val="3AAAEA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4D1CB6"/>
    <w:multiLevelType w:val="multilevel"/>
    <w:tmpl w:val="43929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586F4D"/>
    <w:multiLevelType w:val="multilevel"/>
    <w:tmpl w:val="527E31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352">
    <w:abstractNumId w:val="8"/>
  </w:num>
  <w:num w:numId="2" w16cid:durableId="742994706">
    <w:abstractNumId w:val="7"/>
  </w:num>
  <w:num w:numId="3" w16cid:durableId="497575264">
    <w:abstractNumId w:val="13"/>
  </w:num>
  <w:num w:numId="4" w16cid:durableId="1753774933">
    <w:abstractNumId w:val="5"/>
  </w:num>
  <w:num w:numId="5" w16cid:durableId="760761374">
    <w:abstractNumId w:val="11"/>
  </w:num>
  <w:num w:numId="6" w16cid:durableId="132527383">
    <w:abstractNumId w:val="10"/>
  </w:num>
  <w:num w:numId="7" w16cid:durableId="495999369">
    <w:abstractNumId w:val="14"/>
  </w:num>
  <w:num w:numId="8" w16cid:durableId="1978416902">
    <w:abstractNumId w:val="9"/>
  </w:num>
  <w:num w:numId="9" w16cid:durableId="1812405648">
    <w:abstractNumId w:val="0"/>
  </w:num>
  <w:num w:numId="10" w16cid:durableId="978151981">
    <w:abstractNumId w:val="2"/>
  </w:num>
  <w:num w:numId="11" w16cid:durableId="1827551665">
    <w:abstractNumId w:val="4"/>
  </w:num>
  <w:num w:numId="12" w16cid:durableId="955599999">
    <w:abstractNumId w:val="1"/>
  </w:num>
  <w:num w:numId="13" w16cid:durableId="1831601326">
    <w:abstractNumId w:val="6"/>
  </w:num>
  <w:num w:numId="14" w16cid:durableId="2077049672">
    <w:abstractNumId w:val="12"/>
  </w:num>
  <w:num w:numId="15" w16cid:durableId="1962304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8E"/>
    <w:rsid w:val="000A02EF"/>
    <w:rsid w:val="000A12E3"/>
    <w:rsid w:val="000C4FD4"/>
    <w:rsid w:val="00121DD7"/>
    <w:rsid w:val="00151C3E"/>
    <w:rsid w:val="00174ECC"/>
    <w:rsid w:val="00182FC6"/>
    <w:rsid w:val="001A2AA0"/>
    <w:rsid w:val="001B3ECA"/>
    <w:rsid w:val="001D3C22"/>
    <w:rsid w:val="002D796E"/>
    <w:rsid w:val="003238C0"/>
    <w:rsid w:val="003B235E"/>
    <w:rsid w:val="00420EF7"/>
    <w:rsid w:val="004220D7"/>
    <w:rsid w:val="00432689"/>
    <w:rsid w:val="00473B4C"/>
    <w:rsid w:val="004A3D8E"/>
    <w:rsid w:val="004B3BAB"/>
    <w:rsid w:val="00537CC6"/>
    <w:rsid w:val="00646E5F"/>
    <w:rsid w:val="00685463"/>
    <w:rsid w:val="00697A03"/>
    <w:rsid w:val="006E7B59"/>
    <w:rsid w:val="00722B96"/>
    <w:rsid w:val="00762614"/>
    <w:rsid w:val="007810A7"/>
    <w:rsid w:val="007D7DA4"/>
    <w:rsid w:val="00853260"/>
    <w:rsid w:val="008A2100"/>
    <w:rsid w:val="008D7233"/>
    <w:rsid w:val="00A7389D"/>
    <w:rsid w:val="00B3773B"/>
    <w:rsid w:val="00B47426"/>
    <w:rsid w:val="00BE4C40"/>
    <w:rsid w:val="00C169ED"/>
    <w:rsid w:val="00C55CAC"/>
    <w:rsid w:val="00CB7309"/>
    <w:rsid w:val="00CD2302"/>
    <w:rsid w:val="00E0241D"/>
    <w:rsid w:val="00E4550F"/>
    <w:rsid w:val="00ED48A9"/>
    <w:rsid w:val="00EF4AC9"/>
    <w:rsid w:val="00F10F98"/>
    <w:rsid w:val="00F37D55"/>
    <w:rsid w:val="0BBFDD9A"/>
    <w:rsid w:val="18E62708"/>
    <w:rsid w:val="1C4EB181"/>
    <w:rsid w:val="1E25930D"/>
    <w:rsid w:val="1F9240BC"/>
    <w:rsid w:val="206253DC"/>
    <w:rsid w:val="2B0F40A4"/>
    <w:rsid w:val="2BE1D5FA"/>
    <w:rsid w:val="2C15C76A"/>
    <w:rsid w:val="32D74DD7"/>
    <w:rsid w:val="36E65227"/>
    <w:rsid w:val="3B1E9CFC"/>
    <w:rsid w:val="3D429DA4"/>
    <w:rsid w:val="41500DA9"/>
    <w:rsid w:val="45620751"/>
    <w:rsid w:val="4F0F755C"/>
    <w:rsid w:val="50AB45BD"/>
    <w:rsid w:val="51EE2B47"/>
    <w:rsid w:val="56ADBD71"/>
    <w:rsid w:val="5B438D16"/>
    <w:rsid w:val="6065DAEC"/>
    <w:rsid w:val="61957858"/>
    <w:rsid w:val="63D4B624"/>
    <w:rsid w:val="666F7540"/>
    <w:rsid w:val="71038EB4"/>
    <w:rsid w:val="778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75429"/>
  <w15:chartTrackingRefBased/>
  <w15:docId w15:val="{AFAC0092-799A-4B89-85E5-9D6D2B96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3D8E"/>
    <w:pPr>
      <w:spacing w:before="100" w:beforeAutospacing="1" w:after="100" w:afterAutospacing="1"/>
    </w:pPr>
    <w:rPr>
      <w:lang w:val="en-US"/>
    </w:rPr>
  </w:style>
  <w:style w:type="character" w:customStyle="1" w:styleId="normaltextrun">
    <w:name w:val="normaltextrun"/>
    <w:basedOn w:val="DefaultParagraphFont"/>
    <w:rsid w:val="004A3D8E"/>
  </w:style>
  <w:style w:type="character" w:customStyle="1" w:styleId="eop">
    <w:name w:val="eop"/>
    <w:basedOn w:val="DefaultParagraphFont"/>
    <w:rsid w:val="004A3D8E"/>
  </w:style>
  <w:style w:type="character" w:customStyle="1" w:styleId="citationtext">
    <w:name w:val="citationtext"/>
    <w:basedOn w:val="DefaultParagraphFont"/>
    <w:rsid w:val="00432689"/>
  </w:style>
  <w:style w:type="character" w:styleId="Strong">
    <w:name w:val="Strong"/>
    <w:basedOn w:val="DefaultParagraphFont"/>
    <w:uiPriority w:val="22"/>
    <w:qFormat/>
    <w:rsid w:val="00420EF7"/>
    <w:rPr>
      <w:b/>
      <w:bCs/>
    </w:rPr>
  </w:style>
  <w:style w:type="character" w:styleId="Emphasis">
    <w:name w:val="Emphasis"/>
    <w:basedOn w:val="DefaultParagraphFont"/>
    <w:uiPriority w:val="20"/>
    <w:qFormat/>
    <w:rsid w:val="00420EF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0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2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3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9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0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4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8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9778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9" w:color="E6E6E6"/>
                                                    <w:left w:val="single" w:sz="6" w:space="11" w:color="E6E6E6"/>
                                                    <w:bottom w:val="single" w:sz="6" w:space="9" w:color="E6E6E6"/>
                                                    <w:right w:val="single" w:sz="6" w:space="15" w:color="E6E6E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267887">
          <w:marLeft w:val="0"/>
          <w:marRight w:val="0"/>
          <w:marTop w:val="0"/>
          <w:marBottom w:val="20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f7c70a-da88-4bc4-8b1e-3cd252b347bb" xsi:nil="true"/>
    <lcf76f155ced4ddcb4097134ff3c332f xmlns="ddc0fd30-8d4c-48bc-b11b-3efc133fc6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E11FEB0B47943A743F3D49BDD270D" ma:contentTypeVersion="18" ma:contentTypeDescription="Create a new document." ma:contentTypeScope="" ma:versionID="34ccdce26403d679fe065e74d84ed4e7">
  <xsd:schema xmlns:xsd="http://www.w3.org/2001/XMLSchema" xmlns:xs="http://www.w3.org/2001/XMLSchema" xmlns:p="http://schemas.microsoft.com/office/2006/metadata/properties" xmlns:ns2="06f7c70a-da88-4bc4-8b1e-3cd252b347bb" xmlns:ns3="ddc0fd30-8d4c-48bc-b11b-3efc133fc6c1" targetNamespace="http://schemas.microsoft.com/office/2006/metadata/properties" ma:root="true" ma:fieldsID="02a63e2b7bd65c54b3ac55c2263909c2" ns2:_="" ns3:_="">
    <xsd:import namespace="06f7c70a-da88-4bc4-8b1e-3cd252b347bb"/>
    <xsd:import namespace="ddc0fd30-8d4c-48bc-b11b-3efc133fc6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7c70a-da88-4bc4-8b1e-3cd252b34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762fa-81af-4650-abe7-e1e0112816f6}" ma:internalName="TaxCatchAll" ma:showField="CatchAllData" ma:web="06f7c70a-da88-4bc4-8b1e-3cd252b34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0fd30-8d4c-48bc-b11b-3efc133fc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475414-8e6d-4590-b8f2-75d98188e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24BD0-A424-495F-B5B2-FC6E7FC16F4F}">
  <ds:schemaRefs>
    <ds:schemaRef ds:uri="http://schemas.microsoft.com/office/2006/metadata/properties"/>
    <ds:schemaRef ds:uri="http://schemas.microsoft.com/office/infopath/2007/PartnerControls"/>
    <ds:schemaRef ds:uri="06f7c70a-da88-4bc4-8b1e-3cd252b347bb"/>
    <ds:schemaRef ds:uri="ddc0fd30-8d4c-48bc-b11b-3efc133fc6c1"/>
  </ds:schemaRefs>
</ds:datastoreItem>
</file>

<file path=customXml/itemProps2.xml><?xml version="1.0" encoding="utf-8"?>
<ds:datastoreItem xmlns:ds="http://schemas.openxmlformats.org/officeDocument/2006/customXml" ds:itemID="{7C2A5C86-AA6E-4878-80CB-64AC7E557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76B9D-226B-4DF6-A2F6-124C3DD30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7c70a-da88-4bc4-8b1e-3cd252b347bb"/>
    <ds:schemaRef ds:uri="ddc0fd30-8d4c-48bc-b11b-3efc133fc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Harskuti</dc:creator>
  <cp:keywords/>
  <dc:description/>
  <cp:lastModifiedBy>Monika Köppl-Turyna</cp:lastModifiedBy>
  <cp:revision>8</cp:revision>
  <dcterms:created xsi:type="dcterms:W3CDTF">2025-08-21T12:25:00Z</dcterms:created>
  <dcterms:modified xsi:type="dcterms:W3CDTF">2025-08-22T07:54:00Z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0x010100841E11FEB0B47943A743F3D49BDD270D</vt:lpwstr>
  </property>
  <property fmtid="{D5CDD505-2E9C-101B-9397-08002B2CF9AE}" pid="3" name="MediaServiceImageTags">
    <vt:lpwstr/>
  </property>
</Properties>
</file>