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8A3" w14:textId="517D19E4" w:rsidR="008667F2" w:rsidRPr="00651CFF" w:rsidRDefault="00F346F1" w:rsidP="00703440">
      <w:pPr>
        <w:pStyle w:val="Title"/>
        <w:rPr>
          <w:rFonts w:cs="Cambria"/>
          <w:b w:val="0"/>
          <w:color w:val="000000"/>
        </w:rPr>
      </w:pPr>
      <w:r w:rsidRPr="00651CFF"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41FF4FF2" wp14:editId="37737A0C">
            <wp:simplePos x="0" y="0"/>
            <wp:positionH relativeFrom="column">
              <wp:posOffset>4872990</wp:posOffset>
            </wp:positionH>
            <wp:positionV relativeFrom="paragraph">
              <wp:posOffset>-914400</wp:posOffset>
            </wp:positionV>
            <wp:extent cx="2219325" cy="15487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C7" w:rsidRPr="00651CFF">
        <w:rPr>
          <w:noProof/>
        </w:rPr>
        <w:t>EU Human Rights Law and Policy</w:t>
      </w:r>
    </w:p>
    <w:p w14:paraId="2C507FFE" w14:textId="7F11656A" w:rsidR="008667F2" w:rsidRPr="00D47314" w:rsidRDefault="00703440" w:rsidP="00703440">
      <w:pPr>
        <w:rPr>
          <w:lang w:val="fr-FR"/>
        </w:rPr>
      </w:pPr>
      <w:r w:rsidRPr="00D47314">
        <w:rPr>
          <w:rFonts w:cs="Cambria"/>
          <w:b/>
          <w:bCs/>
          <w:color w:val="000000"/>
          <w:lang w:val="fr-FR"/>
        </w:rPr>
        <w:t>Instructor:</w:t>
      </w:r>
      <w:r w:rsidR="00DC5D16" w:rsidRPr="00D47314">
        <w:rPr>
          <w:rFonts w:cs="Cambria"/>
          <w:color w:val="000000"/>
          <w:lang w:val="fr-FR"/>
        </w:rPr>
        <w:t xml:space="preserve"> </w:t>
      </w:r>
      <w:r w:rsidR="00E7347B" w:rsidRPr="00D47314">
        <w:rPr>
          <w:lang w:val="fr-FR"/>
        </w:rPr>
        <w:t>Marie-Pierre Granger</w:t>
      </w:r>
      <w:r w:rsidRPr="00D47314">
        <w:rPr>
          <w:lang w:val="fr-FR"/>
        </w:rPr>
        <w:t>, Associate Professor (DPP, LEGS)</w:t>
      </w:r>
    </w:p>
    <w:p w14:paraId="596C9DC0" w14:textId="77777777" w:rsidR="00E22EBB" w:rsidRDefault="00E22EBB" w:rsidP="00703440">
      <w:pPr>
        <w:rPr>
          <w:rFonts w:cs="Cambria"/>
          <w:color w:val="000000"/>
          <w:lang w:val="fr-FR"/>
        </w:rPr>
      </w:pPr>
    </w:p>
    <w:p w14:paraId="125A16B0" w14:textId="3875B88D" w:rsidR="006E607E" w:rsidRDefault="006E607E" w:rsidP="00703440">
      <w:pPr>
        <w:rPr>
          <w:rFonts w:cs="Cambria"/>
          <w:color w:val="000000"/>
        </w:rPr>
      </w:pPr>
      <w:r w:rsidRPr="006E607E">
        <w:rPr>
          <w:rFonts w:cs="Cambria"/>
          <w:color w:val="000000"/>
          <w:highlight w:val="yellow"/>
        </w:rPr>
        <w:t>May be subject to change</w:t>
      </w:r>
    </w:p>
    <w:p w14:paraId="089B2B38" w14:textId="77777777" w:rsidR="006E607E" w:rsidRPr="006E607E" w:rsidRDefault="006E607E" w:rsidP="00703440">
      <w:pPr>
        <w:rPr>
          <w:rFonts w:cs="Cambria"/>
          <w:color w:val="000000"/>
        </w:rPr>
      </w:pPr>
    </w:p>
    <w:p w14:paraId="2FC3EC22" w14:textId="70BBF1E5" w:rsidR="00B547B4" w:rsidRPr="00651CFF" w:rsidRDefault="00E23DCB" w:rsidP="00703440">
      <w:pPr>
        <w:rPr>
          <w:rFonts w:cs="Cambria"/>
          <w:color w:val="000000"/>
        </w:rPr>
      </w:pPr>
      <w:r w:rsidRPr="00651CFF">
        <w:rPr>
          <w:rFonts w:cs="Cambria"/>
          <w:color w:val="000000"/>
        </w:rPr>
        <w:t xml:space="preserve">Spring </w:t>
      </w:r>
      <w:r w:rsidR="00B547B4" w:rsidRPr="00651CFF">
        <w:rPr>
          <w:rFonts w:cs="Cambria"/>
          <w:color w:val="000000"/>
        </w:rPr>
        <w:t xml:space="preserve">Term / AY </w:t>
      </w:r>
      <w:r w:rsidR="006E607E">
        <w:rPr>
          <w:rFonts w:cs="Cambria"/>
          <w:color w:val="000000"/>
        </w:rPr>
        <w:t>2023-24</w:t>
      </w:r>
    </w:p>
    <w:p w14:paraId="559FB773" w14:textId="77777777" w:rsidR="008667F2" w:rsidRPr="00651CFF" w:rsidRDefault="00063913" w:rsidP="00703440">
      <w:pPr>
        <w:rPr>
          <w:rFonts w:cs="Cambria"/>
          <w:color w:val="000000"/>
        </w:rPr>
      </w:pPr>
      <w:r w:rsidRPr="00651CFF">
        <w:rPr>
          <w:rFonts w:cs="Cambria"/>
          <w:color w:val="000000"/>
        </w:rPr>
        <w:t>Master</w:t>
      </w:r>
      <w:r w:rsidRPr="00651CFF">
        <w:rPr>
          <w:rFonts w:cs="Cambria"/>
          <w:color w:val="000000"/>
          <w:lang w:val="hu-HU"/>
        </w:rPr>
        <w:t>’s</w:t>
      </w:r>
      <w:r w:rsidR="00DC5D16" w:rsidRPr="00651CFF">
        <w:rPr>
          <w:rFonts w:cs="Cambria"/>
          <w:color w:val="000000"/>
        </w:rPr>
        <w:t xml:space="preserve"> level course</w:t>
      </w:r>
    </w:p>
    <w:p w14:paraId="627AF7AF" w14:textId="4A10DA41" w:rsidR="00EF66F4" w:rsidRPr="00651CFF" w:rsidRDefault="00E23DCB" w:rsidP="00703440">
      <w:pPr>
        <w:rPr>
          <w:rFonts w:cs="Cambria"/>
          <w:color w:val="000000"/>
        </w:rPr>
      </w:pPr>
      <w:r w:rsidRPr="00651CFF">
        <w:rPr>
          <w:rFonts w:cs="Cambria"/>
          <w:color w:val="000000"/>
        </w:rPr>
        <w:t>Mandatory-Elective</w:t>
      </w:r>
      <w:r w:rsidR="1F3907AB" w:rsidRPr="00651CFF">
        <w:rPr>
          <w:rFonts w:cs="Cambria"/>
          <w:color w:val="000000"/>
        </w:rPr>
        <w:t xml:space="preserve"> </w:t>
      </w:r>
      <w:r w:rsidR="006E4FBF" w:rsidRPr="00651CFF">
        <w:rPr>
          <w:rFonts w:cs="Cambria"/>
          <w:color w:val="000000"/>
        </w:rPr>
        <w:t>for</w:t>
      </w:r>
      <w:r w:rsidRPr="00651CFF">
        <w:rPr>
          <w:rFonts w:cs="Cambria"/>
          <w:color w:val="000000"/>
        </w:rPr>
        <w:t xml:space="preserve"> HR LL.M, HR MA</w:t>
      </w:r>
      <w:r w:rsidR="006E4FBF" w:rsidRPr="00651CFF">
        <w:rPr>
          <w:rFonts w:cs="Cambria"/>
          <w:color w:val="000000"/>
        </w:rPr>
        <w:t xml:space="preserve"> (LEGS), Mundus MAPP (EPP </w:t>
      </w:r>
      <w:r w:rsidR="00977E59">
        <w:rPr>
          <w:rFonts w:cs="Cambria"/>
          <w:color w:val="000000"/>
        </w:rPr>
        <w:t>module</w:t>
      </w:r>
      <w:r w:rsidR="006E4FBF" w:rsidRPr="00651CFF">
        <w:rPr>
          <w:rFonts w:cs="Cambria"/>
          <w:color w:val="000000"/>
        </w:rPr>
        <w:t>)</w:t>
      </w:r>
    </w:p>
    <w:p w14:paraId="3C57A847" w14:textId="36ECAD89" w:rsidR="008667F2" w:rsidRDefault="001B69B3" w:rsidP="00703440">
      <w:pPr>
        <w:rPr>
          <w:rFonts w:cs="Cambria"/>
          <w:color w:val="000000"/>
        </w:rPr>
      </w:pPr>
      <w:r w:rsidRPr="00651CFF">
        <w:rPr>
          <w:rFonts w:cs="Cambria"/>
          <w:color w:val="000000"/>
        </w:rPr>
        <w:t>2</w:t>
      </w:r>
      <w:r w:rsidR="00063913" w:rsidRPr="00651CFF">
        <w:rPr>
          <w:rFonts w:cs="Cambria"/>
          <w:color w:val="000000"/>
        </w:rPr>
        <w:t xml:space="preserve"> US</w:t>
      </w:r>
      <w:r w:rsidR="00DC5D16" w:rsidRPr="00651CFF">
        <w:rPr>
          <w:rFonts w:cs="Cambria"/>
          <w:color w:val="000000"/>
        </w:rPr>
        <w:t xml:space="preserve"> </w:t>
      </w:r>
      <w:r w:rsidR="00063913" w:rsidRPr="00651CFF">
        <w:rPr>
          <w:rFonts w:cs="Cambria"/>
          <w:color w:val="000000"/>
        </w:rPr>
        <w:t>c</w:t>
      </w:r>
      <w:r w:rsidR="00DC5D16" w:rsidRPr="00651CFF">
        <w:rPr>
          <w:rFonts w:cs="Cambria"/>
          <w:color w:val="000000"/>
        </w:rPr>
        <w:t xml:space="preserve">redit </w:t>
      </w:r>
      <w:r w:rsidR="00063913" w:rsidRPr="00651CFF">
        <w:rPr>
          <w:rFonts w:cs="Cambria"/>
          <w:color w:val="000000"/>
        </w:rPr>
        <w:t xml:space="preserve">/ </w:t>
      </w:r>
      <w:r w:rsidRPr="00651CFF">
        <w:rPr>
          <w:rFonts w:cs="Cambria"/>
          <w:color w:val="000000"/>
        </w:rPr>
        <w:t>4</w:t>
      </w:r>
      <w:r w:rsidR="00DC5D16" w:rsidRPr="00651CFF">
        <w:rPr>
          <w:rFonts w:cs="Cambria"/>
          <w:color w:val="000000"/>
        </w:rPr>
        <w:t xml:space="preserve"> ECTS </w:t>
      </w:r>
      <w:r w:rsidR="00063913" w:rsidRPr="00651CFF">
        <w:rPr>
          <w:rFonts w:cs="Cambria"/>
          <w:color w:val="000000"/>
        </w:rPr>
        <w:t>c</w:t>
      </w:r>
      <w:r w:rsidR="00DC5D16" w:rsidRPr="00651CFF">
        <w:rPr>
          <w:rFonts w:cs="Cambria"/>
          <w:color w:val="000000"/>
        </w:rPr>
        <w:t>redits</w:t>
      </w:r>
      <w:r w:rsidR="00E23DCB" w:rsidRPr="00651CFF">
        <w:rPr>
          <w:rFonts w:cs="Cambria"/>
          <w:color w:val="000000"/>
        </w:rPr>
        <w:t xml:space="preserve"> </w:t>
      </w:r>
    </w:p>
    <w:p w14:paraId="30CA31FE" w14:textId="77777777" w:rsidR="00E22EBB" w:rsidRPr="00651CFF" w:rsidRDefault="00E22EBB" w:rsidP="00703440">
      <w:pPr>
        <w:rPr>
          <w:rFonts w:cs="Cambria"/>
          <w:color w:val="000000"/>
        </w:rPr>
      </w:pPr>
    </w:p>
    <w:p w14:paraId="6FBBBD29" w14:textId="65020241" w:rsidR="00063913" w:rsidRDefault="00DC5D16" w:rsidP="00703440">
      <w:pPr>
        <w:rPr>
          <w:rFonts w:cs="Cambria"/>
          <w:color w:val="000000"/>
        </w:rPr>
      </w:pPr>
      <w:r w:rsidRPr="00703440">
        <w:rPr>
          <w:rFonts w:cs="Cambria"/>
          <w:b/>
          <w:bCs/>
          <w:color w:val="000000"/>
        </w:rPr>
        <w:t>Pre-requisites:</w:t>
      </w:r>
      <w:r w:rsidRPr="00651CFF">
        <w:rPr>
          <w:rFonts w:cs="Cambria"/>
          <w:color w:val="000000"/>
        </w:rPr>
        <w:t xml:space="preserve"> </w:t>
      </w:r>
      <w:r w:rsidR="00FC253C">
        <w:rPr>
          <w:rFonts w:cs="Cambria"/>
          <w:color w:val="000000"/>
        </w:rPr>
        <w:t>For LEGS students</w:t>
      </w:r>
      <w:r w:rsidR="00882306">
        <w:rPr>
          <w:rFonts w:cs="Cambria"/>
          <w:color w:val="000000"/>
        </w:rPr>
        <w:t>,</w:t>
      </w:r>
      <w:r w:rsidR="00FC253C">
        <w:rPr>
          <w:rFonts w:cs="Cambria"/>
          <w:color w:val="000000"/>
        </w:rPr>
        <w:t xml:space="preserve"> </w:t>
      </w:r>
      <w:r w:rsidR="00E55462">
        <w:rPr>
          <w:rFonts w:cs="Cambria"/>
          <w:color w:val="000000"/>
        </w:rPr>
        <w:t xml:space="preserve">students must have taken and passed </w:t>
      </w:r>
      <w:r w:rsidR="00730CE7" w:rsidRPr="00651CFF">
        <w:rPr>
          <w:rFonts w:cs="Cambria"/>
          <w:color w:val="000000"/>
        </w:rPr>
        <w:t>Introduction to European Union Law</w:t>
      </w:r>
      <w:r w:rsidR="001B60D6" w:rsidRPr="00651CFF">
        <w:rPr>
          <w:rFonts w:cs="Cambria"/>
          <w:color w:val="000000"/>
        </w:rPr>
        <w:t xml:space="preserve"> (unless students can provide evidence of </w:t>
      </w:r>
      <w:r w:rsidR="00535F47" w:rsidRPr="00651CFF">
        <w:rPr>
          <w:rFonts w:cs="Cambria"/>
          <w:color w:val="000000"/>
        </w:rPr>
        <w:t xml:space="preserve">at least </w:t>
      </w:r>
      <w:r w:rsidR="001B60D6" w:rsidRPr="00651CFF">
        <w:rPr>
          <w:rFonts w:cs="Cambria"/>
          <w:color w:val="000000"/>
        </w:rPr>
        <w:t>equivalent academic qualification</w:t>
      </w:r>
      <w:r w:rsidR="00386660" w:rsidRPr="00651CFF">
        <w:rPr>
          <w:rFonts w:cs="Cambria"/>
          <w:color w:val="000000"/>
        </w:rPr>
        <w:t>s</w:t>
      </w:r>
      <w:r w:rsidR="001B60D6" w:rsidRPr="00651CFF">
        <w:rPr>
          <w:rFonts w:cs="Cambria"/>
          <w:color w:val="000000"/>
        </w:rPr>
        <w:t xml:space="preserve"> in EU law</w:t>
      </w:r>
      <w:r w:rsidR="00386660" w:rsidRPr="00651CFF">
        <w:rPr>
          <w:rFonts w:cs="Cambria"/>
          <w:color w:val="000000"/>
        </w:rPr>
        <w:t>)</w:t>
      </w:r>
      <w:r w:rsidR="00AC7D79" w:rsidRPr="00651CFF">
        <w:rPr>
          <w:rFonts w:cs="Cambria"/>
          <w:color w:val="000000"/>
        </w:rPr>
        <w:t>.</w:t>
      </w:r>
      <w:r w:rsidR="00652569" w:rsidRPr="00651CFF">
        <w:rPr>
          <w:rFonts w:cs="Cambria"/>
          <w:color w:val="000000"/>
        </w:rPr>
        <w:t xml:space="preserve"> For Mundus MAPP</w:t>
      </w:r>
      <w:r w:rsidR="00FC253C">
        <w:rPr>
          <w:rFonts w:cs="Cambria"/>
          <w:color w:val="000000"/>
        </w:rPr>
        <w:t xml:space="preserve"> students</w:t>
      </w:r>
      <w:r w:rsidR="00652569" w:rsidRPr="00651CFF">
        <w:rPr>
          <w:rFonts w:cs="Cambria"/>
          <w:color w:val="000000"/>
        </w:rPr>
        <w:t xml:space="preserve">, </w:t>
      </w:r>
      <w:r w:rsidR="00E55462">
        <w:rPr>
          <w:rFonts w:cs="Cambria"/>
          <w:color w:val="000000"/>
        </w:rPr>
        <w:t xml:space="preserve">students must have taken and passed </w:t>
      </w:r>
      <w:r w:rsidR="00652569" w:rsidRPr="00651CFF">
        <w:rPr>
          <w:rFonts w:cs="Cambria"/>
          <w:color w:val="000000"/>
        </w:rPr>
        <w:t xml:space="preserve">European integration and EU Governance </w:t>
      </w:r>
      <w:r w:rsidR="00F2194C" w:rsidRPr="00651CFF">
        <w:rPr>
          <w:rFonts w:cs="Cambria"/>
          <w:color w:val="000000"/>
        </w:rPr>
        <w:t xml:space="preserve">(DPP) </w:t>
      </w:r>
      <w:r w:rsidR="00224C43">
        <w:rPr>
          <w:rFonts w:cs="Cambria"/>
          <w:color w:val="000000"/>
        </w:rPr>
        <w:t>OR</w:t>
      </w:r>
      <w:r w:rsidR="00652569" w:rsidRPr="00651CFF">
        <w:rPr>
          <w:rFonts w:cs="Cambria"/>
          <w:color w:val="000000"/>
        </w:rPr>
        <w:t xml:space="preserve"> </w:t>
      </w:r>
      <w:r w:rsidR="00F2194C" w:rsidRPr="00651CFF">
        <w:rPr>
          <w:rFonts w:cs="Cambria"/>
          <w:color w:val="000000"/>
        </w:rPr>
        <w:t>Introduction to European Union Law (LEGS)</w:t>
      </w:r>
      <w:r w:rsidR="00FC253C">
        <w:rPr>
          <w:rFonts w:cs="Cambria"/>
          <w:color w:val="000000"/>
        </w:rPr>
        <w:t xml:space="preserve">. </w:t>
      </w:r>
      <w:r w:rsidR="00547970">
        <w:rPr>
          <w:rFonts w:cs="Cambria"/>
          <w:color w:val="000000"/>
        </w:rPr>
        <w:t>Students who already have a good foundational knowledge in EU</w:t>
      </w:r>
      <w:r w:rsidR="0097127F">
        <w:rPr>
          <w:rFonts w:cs="Cambria"/>
          <w:color w:val="000000"/>
        </w:rPr>
        <w:t xml:space="preserve"> affairs, including legal matters,</w:t>
      </w:r>
      <w:r w:rsidR="00547970">
        <w:rPr>
          <w:rFonts w:cs="Cambria"/>
          <w:color w:val="000000"/>
        </w:rPr>
        <w:t xml:space="preserve"> may request an exception </w:t>
      </w:r>
      <w:r w:rsidR="0097127F">
        <w:rPr>
          <w:rFonts w:cs="Cambria"/>
          <w:color w:val="000000"/>
        </w:rPr>
        <w:t>from</w:t>
      </w:r>
      <w:r w:rsidR="00547970">
        <w:rPr>
          <w:rFonts w:cs="Cambria"/>
          <w:color w:val="000000"/>
        </w:rPr>
        <w:t xml:space="preserve"> these introductory courses. This request must be made at the start of the academic year, before the end of the Fall term registration period, to the course’ instructor, copying the </w:t>
      </w:r>
      <w:r w:rsidR="00B02820">
        <w:rPr>
          <w:rFonts w:cs="Cambria"/>
          <w:color w:val="000000"/>
        </w:rPr>
        <w:t>relevant department coordinator and programme director.</w:t>
      </w:r>
    </w:p>
    <w:p w14:paraId="2EA42BEF" w14:textId="77777777" w:rsidR="00E22EBB" w:rsidRPr="00651CFF" w:rsidRDefault="00E22EBB" w:rsidP="00703440">
      <w:pPr>
        <w:rPr>
          <w:rFonts w:cs="Cambria"/>
          <w:color w:val="000000"/>
        </w:rPr>
      </w:pPr>
    </w:p>
    <w:p w14:paraId="08F382EC" w14:textId="0A57C3BE" w:rsidR="008667F2" w:rsidRPr="00651CFF" w:rsidRDefault="00DC5D16" w:rsidP="00703440">
      <w:pPr>
        <w:rPr>
          <w:rFonts w:cs="Arial"/>
          <w:color w:val="000000"/>
        </w:rPr>
      </w:pPr>
      <w:r w:rsidRPr="00E22EBB">
        <w:rPr>
          <w:rFonts w:cs="Cambria"/>
          <w:b/>
          <w:bCs/>
          <w:color w:val="000000"/>
        </w:rPr>
        <w:t>E-learning</w:t>
      </w:r>
      <w:r w:rsidRPr="00651CFF">
        <w:rPr>
          <w:rFonts w:cs="Cambria"/>
          <w:color w:val="000000"/>
        </w:rPr>
        <w:t xml:space="preserve">: </w:t>
      </w:r>
      <w:hyperlink r:id="rId12" w:history="1">
        <w:r w:rsidR="003B63FA" w:rsidRPr="001D1D10">
          <w:rPr>
            <w:rStyle w:val="Hyperlink"/>
            <w:rFonts w:cs="Cambria"/>
          </w:rPr>
          <w:t>https://ceulearning.ceu.edu/course/editsection.php?id=182243&amp;sr</w:t>
        </w:r>
      </w:hyperlink>
      <w:r w:rsidR="003B63FA">
        <w:rPr>
          <w:rFonts w:cs="Cambria"/>
          <w:color w:val="000000"/>
        </w:rPr>
        <w:t xml:space="preserve"> </w:t>
      </w:r>
    </w:p>
    <w:p w14:paraId="16B842DB" w14:textId="33624AA6" w:rsidR="008667F2" w:rsidRPr="00651CFF" w:rsidRDefault="00DC5D16" w:rsidP="00703440">
      <w:pPr>
        <w:rPr>
          <w:rFonts w:cs="Cambria"/>
          <w:color w:val="000000"/>
        </w:rPr>
      </w:pPr>
      <w:r w:rsidRPr="00E22EBB">
        <w:rPr>
          <w:rFonts w:cs="Cambria"/>
          <w:b/>
          <w:bCs/>
          <w:color w:val="000000"/>
        </w:rPr>
        <w:t>Office hours</w:t>
      </w:r>
      <w:r w:rsidR="006B0FF0" w:rsidRPr="00E22EBB">
        <w:rPr>
          <w:rFonts w:cs="Cambria"/>
          <w:b/>
          <w:bCs/>
          <w:color w:val="000000"/>
        </w:rPr>
        <w:t xml:space="preserve"> and contact information for consultation</w:t>
      </w:r>
      <w:r w:rsidRPr="00651CFF">
        <w:rPr>
          <w:rFonts w:cs="Cambria"/>
          <w:color w:val="000000"/>
        </w:rPr>
        <w:t xml:space="preserve">: </w:t>
      </w:r>
      <w:r w:rsidR="00C96608">
        <w:t>Monday 13.30-15.</w:t>
      </w:r>
      <w:r w:rsidR="003B63FA">
        <w:t>00</w:t>
      </w:r>
      <w:r w:rsidR="00C96608">
        <w:t xml:space="preserve">; </w:t>
      </w:r>
      <w:r w:rsidR="003B63FA">
        <w:t>Weds 13</w:t>
      </w:r>
      <w:r w:rsidR="00C96608">
        <w:t xml:space="preserve">.30 – </w:t>
      </w:r>
      <w:r w:rsidR="003B63FA">
        <w:t>15.00</w:t>
      </w:r>
      <w:r w:rsidR="00C96608">
        <w:t xml:space="preserve">, or </w:t>
      </w:r>
      <w:r w:rsidR="00F427DE">
        <w:t>arranged</w:t>
      </w:r>
      <w:r w:rsidR="00C96608">
        <w:t xml:space="preserve"> </w:t>
      </w:r>
      <w:r w:rsidR="00A111FB">
        <w:t xml:space="preserve">by </w:t>
      </w:r>
      <w:r w:rsidR="00C96608">
        <w:t>e-mail.</w:t>
      </w:r>
    </w:p>
    <w:p w14:paraId="5D6E0E79" w14:textId="77777777" w:rsidR="001255BA" w:rsidRDefault="001255BA" w:rsidP="00CC66E7">
      <w:pPr>
        <w:widowControl w:val="0"/>
        <w:autoSpaceDE w:val="0"/>
        <w:autoSpaceDN w:val="0"/>
        <w:adjustRightInd w:val="0"/>
        <w:spacing w:before="44" w:line="240" w:lineRule="auto"/>
        <w:rPr>
          <w:rFonts w:cs="Cambria"/>
          <w:b/>
          <w:bCs/>
          <w:color w:val="000000"/>
        </w:rPr>
      </w:pPr>
    </w:p>
    <w:p w14:paraId="0954563C" w14:textId="249AB066" w:rsidR="00CC66E7" w:rsidRPr="00651CFF" w:rsidRDefault="00DC5D16" w:rsidP="00E22EBB">
      <w:pPr>
        <w:pStyle w:val="Heading1"/>
      </w:pPr>
      <w:r w:rsidRPr="00651CFF">
        <w:t>BRIEF INTRODUCTION:</w:t>
      </w:r>
    </w:p>
    <w:p w14:paraId="38D8F1F6" w14:textId="7068F617" w:rsidR="00CA3F02" w:rsidRPr="00651CFF" w:rsidRDefault="004E0C5D" w:rsidP="00CC66E7">
      <w:pPr>
        <w:widowControl w:val="0"/>
        <w:autoSpaceDE w:val="0"/>
        <w:autoSpaceDN w:val="0"/>
        <w:adjustRightInd w:val="0"/>
        <w:spacing w:before="44" w:line="240" w:lineRule="auto"/>
        <w:rPr>
          <w:rFonts w:cstheme="minorHAnsi"/>
          <w:color w:val="333333"/>
        </w:rPr>
      </w:pPr>
      <w:r w:rsidRPr="00651CFF">
        <w:rPr>
          <w:rFonts w:cstheme="minorHAnsi"/>
          <w:color w:val="333333"/>
        </w:rPr>
        <w:t>Human</w:t>
      </w:r>
      <w:r w:rsidR="0093534A" w:rsidRPr="00651CFF">
        <w:rPr>
          <w:rFonts w:cstheme="minorHAnsi"/>
          <w:color w:val="333333"/>
        </w:rPr>
        <w:t xml:space="preserve"> rights </w:t>
      </w:r>
      <w:r w:rsidR="00061C6A" w:rsidRPr="00651CFF">
        <w:rPr>
          <w:rFonts w:cstheme="minorHAnsi"/>
          <w:color w:val="333333"/>
        </w:rPr>
        <w:t xml:space="preserve">have become increasingly relevant in </w:t>
      </w:r>
      <w:r w:rsidR="00EC5432" w:rsidRPr="00651CFF">
        <w:rPr>
          <w:rFonts w:cstheme="minorHAnsi"/>
          <w:color w:val="333333"/>
        </w:rPr>
        <w:t>European Union</w:t>
      </w:r>
      <w:r w:rsidR="00104D7B">
        <w:rPr>
          <w:rFonts w:cstheme="minorHAnsi"/>
          <w:color w:val="333333"/>
        </w:rPr>
        <w:t xml:space="preserve"> </w:t>
      </w:r>
      <w:r w:rsidR="00EA1C06">
        <w:rPr>
          <w:rFonts w:cstheme="minorHAnsi"/>
          <w:color w:val="333333"/>
        </w:rPr>
        <w:t xml:space="preserve">(EU) </w:t>
      </w:r>
      <w:r w:rsidR="00104D7B">
        <w:rPr>
          <w:rFonts w:cstheme="minorHAnsi"/>
          <w:color w:val="333333"/>
        </w:rPr>
        <w:t>law and policy</w:t>
      </w:r>
      <w:r w:rsidRPr="00651CFF">
        <w:rPr>
          <w:rFonts w:cstheme="minorHAnsi"/>
          <w:color w:val="333333"/>
        </w:rPr>
        <w:t>. It is therefore</w:t>
      </w:r>
      <w:r w:rsidR="0093534A" w:rsidRPr="00651CFF">
        <w:rPr>
          <w:rFonts w:cstheme="minorHAnsi"/>
          <w:color w:val="333333"/>
        </w:rPr>
        <w:t xml:space="preserve"> </w:t>
      </w:r>
      <w:r w:rsidR="00EA1C06">
        <w:rPr>
          <w:rFonts w:cstheme="minorHAnsi"/>
          <w:color w:val="333333"/>
        </w:rPr>
        <w:t>important</w:t>
      </w:r>
      <w:r w:rsidR="009076F1">
        <w:rPr>
          <w:rFonts w:cstheme="minorHAnsi"/>
          <w:color w:val="333333"/>
        </w:rPr>
        <w:t xml:space="preserve"> for any</w:t>
      </w:r>
      <w:r w:rsidR="00CB5FDA">
        <w:rPr>
          <w:rFonts w:cstheme="minorHAnsi"/>
          <w:color w:val="333333"/>
        </w:rPr>
        <w:t xml:space="preserve">one working or </w:t>
      </w:r>
      <w:r w:rsidR="00EA1C06">
        <w:rPr>
          <w:rFonts w:cstheme="minorHAnsi"/>
          <w:color w:val="333333"/>
        </w:rPr>
        <w:t xml:space="preserve">doing </w:t>
      </w:r>
      <w:r w:rsidR="00CB5FDA">
        <w:rPr>
          <w:rFonts w:cstheme="minorHAnsi"/>
          <w:color w:val="333333"/>
        </w:rPr>
        <w:t>research in those fields,</w:t>
      </w:r>
      <w:r w:rsidR="009B7CB9" w:rsidRPr="00651CFF">
        <w:rPr>
          <w:rFonts w:cstheme="minorHAnsi"/>
          <w:color w:val="333333"/>
        </w:rPr>
        <w:t xml:space="preserve"> </w:t>
      </w:r>
      <w:r w:rsidR="0093534A" w:rsidRPr="00651CFF">
        <w:rPr>
          <w:rFonts w:cstheme="minorHAnsi"/>
          <w:color w:val="333333"/>
        </w:rPr>
        <w:t xml:space="preserve">to understand </w:t>
      </w:r>
      <w:r w:rsidR="009E000B">
        <w:rPr>
          <w:rFonts w:cstheme="minorHAnsi"/>
          <w:color w:val="333333"/>
        </w:rPr>
        <w:t>the</w:t>
      </w:r>
      <w:r w:rsidR="00163FC9">
        <w:rPr>
          <w:rFonts w:cstheme="minorHAnsi"/>
          <w:color w:val="333333"/>
        </w:rPr>
        <w:t xml:space="preserve"> human rights</w:t>
      </w:r>
      <w:r w:rsidR="0093534A" w:rsidRPr="00651CFF">
        <w:rPr>
          <w:rFonts w:cstheme="minorHAnsi"/>
          <w:color w:val="333333"/>
        </w:rPr>
        <w:t xml:space="preserve"> framework</w:t>
      </w:r>
      <w:r w:rsidR="000B20DA" w:rsidRPr="00651CFF">
        <w:rPr>
          <w:rFonts w:cstheme="minorHAnsi"/>
          <w:color w:val="333333"/>
        </w:rPr>
        <w:t>s</w:t>
      </w:r>
      <w:r w:rsidR="0093534A" w:rsidRPr="00651CFF">
        <w:rPr>
          <w:rFonts w:cstheme="minorHAnsi"/>
          <w:color w:val="333333"/>
        </w:rPr>
        <w:t xml:space="preserve"> within which the EU </w:t>
      </w:r>
      <w:r w:rsidR="00EC5432" w:rsidRPr="00651CFF">
        <w:rPr>
          <w:rFonts w:cstheme="minorHAnsi"/>
          <w:color w:val="333333"/>
        </w:rPr>
        <w:t xml:space="preserve">and its member states </w:t>
      </w:r>
      <w:r w:rsidR="00CC02D6">
        <w:rPr>
          <w:rFonts w:cstheme="minorHAnsi"/>
          <w:color w:val="333333"/>
        </w:rPr>
        <w:t>operat</w:t>
      </w:r>
      <w:r w:rsidR="0026034F">
        <w:rPr>
          <w:rFonts w:cstheme="minorHAnsi"/>
          <w:color w:val="333333"/>
        </w:rPr>
        <w:t>e</w:t>
      </w:r>
      <w:r w:rsidR="002C3420">
        <w:rPr>
          <w:rFonts w:cstheme="minorHAnsi"/>
          <w:color w:val="333333"/>
        </w:rPr>
        <w:t xml:space="preserve">, and </w:t>
      </w:r>
      <w:r w:rsidR="00AF370F">
        <w:rPr>
          <w:rFonts w:cstheme="minorHAnsi"/>
          <w:color w:val="333333"/>
        </w:rPr>
        <w:t xml:space="preserve">assess </w:t>
      </w:r>
      <w:r w:rsidR="00F235FF">
        <w:rPr>
          <w:rFonts w:cstheme="minorHAnsi"/>
          <w:color w:val="333333"/>
        </w:rPr>
        <w:t xml:space="preserve">the potential </w:t>
      </w:r>
      <w:r w:rsidR="002C3420">
        <w:rPr>
          <w:rFonts w:cstheme="minorHAnsi"/>
          <w:color w:val="333333"/>
        </w:rPr>
        <w:t>human rights</w:t>
      </w:r>
      <w:r w:rsidR="00AB1094">
        <w:rPr>
          <w:rFonts w:cstheme="minorHAnsi"/>
          <w:color w:val="333333"/>
        </w:rPr>
        <w:t>’ impact of</w:t>
      </w:r>
      <w:r w:rsidR="002C3420">
        <w:rPr>
          <w:rFonts w:cstheme="minorHAnsi"/>
          <w:color w:val="333333"/>
        </w:rPr>
        <w:t xml:space="preserve"> EU</w:t>
      </w:r>
      <w:r w:rsidR="00AF370F">
        <w:rPr>
          <w:rFonts w:cstheme="minorHAnsi"/>
          <w:color w:val="333333"/>
        </w:rPr>
        <w:t xml:space="preserve"> </w:t>
      </w:r>
      <w:r w:rsidR="00F235FF">
        <w:rPr>
          <w:rFonts w:cstheme="minorHAnsi"/>
          <w:color w:val="333333"/>
        </w:rPr>
        <w:t xml:space="preserve">legal and policy </w:t>
      </w:r>
      <w:r w:rsidR="00AF370F">
        <w:rPr>
          <w:rFonts w:cstheme="minorHAnsi"/>
          <w:color w:val="333333"/>
        </w:rPr>
        <w:t>activities.</w:t>
      </w:r>
      <w:r w:rsidR="008454D8">
        <w:rPr>
          <w:rFonts w:cstheme="minorHAnsi"/>
          <w:color w:val="333333"/>
        </w:rPr>
        <w:t xml:space="preserve"> </w:t>
      </w:r>
      <w:r w:rsidR="0093534A" w:rsidRPr="00651CFF">
        <w:rPr>
          <w:rFonts w:cstheme="minorHAnsi"/>
          <w:color w:val="333333"/>
        </w:rPr>
        <w:t xml:space="preserve">The course </w:t>
      </w:r>
      <w:r w:rsidR="00E401CF" w:rsidRPr="00651CFF">
        <w:rPr>
          <w:rFonts w:cstheme="minorHAnsi"/>
          <w:color w:val="333333"/>
        </w:rPr>
        <w:t xml:space="preserve">seeks to provide students with </w:t>
      </w:r>
      <w:r w:rsidR="008D512B">
        <w:rPr>
          <w:rFonts w:cstheme="minorHAnsi"/>
          <w:color w:val="333333"/>
        </w:rPr>
        <w:t xml:space="preserve">foundational </w:t>
      </w:r>
      <w:r w:rsidR="00E401CF" w:rsidRPr="00651CFF">
        <w:rPr>
          <w:rFonts w:cstheme="minorHAnsi"/>
          <w:color w:val="333333"/>
        </w:rPr>
        <w:t xml:space="preserve">knowledge </w:t>
      </w:r>
      <w:r w:rsidR="008D512B">
        <w:rPr>
          <w:rFonts w:cstheme="minorHAnsi"/>
          <w:color w:val="333333"/>
        </w:rPr>
        <w:t>in</w:t>
      </w:r>
      <w:r w:rsidR="00E401CF" w:rsidRPr="00651CFF">
        <w:rPr>
          <w:rFonts w:cstheme="minorHAnsi"/>
          <w:color w:val="333333"/>
        </w:rPr>
        <w:t xml:space="preserve"> </w:t>
      </w:r>
      <w:r w:rsidR="003A3CE2" w:rsidRPr="00651CFF">
        <w:rPr>
          <w:rFonts w:cstheme="minorHAnsi"/>
          <w:color w:val="333333"/>
        </w:rPr>
        <w:t>EU human rights law and policy</w:t>
      </w:r>
      <w:r w:rsidR="000F34CA">
        <w:rPr>
          <w:rFonts w:cstheme="minorHAnsi"/>
          <w:color w:val="333333"/>
        </w:rPr>
        <w:t>, whilst</w:t>
      </w:r>
      <w:r w:rsidR="00BF78BA">
        <w:rPr>
          <w:rFonts w:cstheme="minorHAnsi"/>
          <w:color w:val="333333"/>
        </w:rPr>
        <w:t xml:space="preserve"> foster</w:t>
      </w:r>
      <w:r w:rsidR="000F34CA">
        <w:rPr>
          <w:rFonts w:cstheme="minorHAnsi"/>
          <w:color w:val="333333"/>
        </w:rPr>
        <w:t>ing</w:t>
      </w:r>
      <w:r w:rsidR="00BF78BA">
        <w:rPr>
          <w:rFonts w:cstheme="minorHAnsi"/>
          <w:color w:val="333333"/>
        </w:rPr>
        <w:t xml:space="preserve"> relevant analytical and practical skills. </w:t>
      </w:r>
      <w:r w:rsidR="003D6AB7">
        <w:rPr>
          <w:rFonts w:cstheme="minorHAnsi"/>
          <w:color w:val="333333"/>
        </w:rPr>
        <w:t>After a</w:t>
      </w:r>
      <w:r w:rsidR="00D72576">
        <w:rPr>
          <w:rFonts w:cstheme="minorHAnsi"/>
          <w:color w:val="333333"/>
        </w:rPr>
        <w:t xml:space="preserve"> critical</w:t>
      </w:r>
      <w:r w:rsidR="0093534A" w:rsidRPr="00651CFF">
        <w:rPr>
          <w:rFonts w:cstheme="minorHAnsi"/>
          <w:color w:val="333333"/>
        </w:rPr>
        <w:t xml:space="preserve"> historical overview</w:t>
      </w:r>
      <w:r w:rsidR="003D6AB7">
        <w:rPr>
          <w:rFonts w:cstheme="minorHAnsi"/>
          <w:color w:val="333333"/>
        </w:rPr>
        <w:t xml:space="preserve">, </w:t>
      </w:r>
      <w:r w:rsidR="006B58D2">
        <w:rPr>
          <w:rFonts w:cstheme="minorHAnsi"/>
          <w:color w:val="333333"/>
        </w:rPr>
        <w:t xml:space="preserve">and a discussion </w:t>
      </w:r>
      <w:r w:rsidR="00A03FCC">
        <w:rPr>
          <w:rFonts w:cstheme="minorHAnsi"/>
          <w:color w:val="333333"/>
        </w:rPr>
        <w:t>around differences between disciplinary and analytical perspectives, the course</w:t>
      </w:r>
      <w:r w:rsidR="006B58D2">
        <w:rPr>
          <w:rFonts w:cstheme="minorHAnsi"/>
          <w:color w:val="333333"/>
        </w:rPr>
        <w:t xml:space="preserve"> examines the various sources of EU human rights norms, and instruments which are used to ensure their protection and promotion, across a </w:t>
      </w:r>
      <w:r w:rsidR="00C70AE6">
        <w:rPr>
          <w:rFonts w:cstheme="minorHAnsi"/>
          <w:color w:val="333333"/>
        </w:rPr>
        <w:t>broad</w:t>
      </w:r>
      <w:r w:rsidR="0093534A" w:rsidRPr="00651CFF">
        <w:rPr>
          <w:rFonts w:cstheme="minorHAnsi"/>
          <w:color w:val="333333"/>
        </w:rPr>
        <w:t xml:space="preserve"> range of EU policy settings</w:t>
      </w:r>
      <w:r w:rsidR="00D030BA">
        <w:rPr>
          <w:rFonts w:cstheme="minorHAnsi"/>
          <w:color w:val="333333"/>
        </w:rPr>
        <w:t xml:space="preserve">, </w:t>
      </w:r>
      <w:r w:rsidR="0093534A" w:rsidRPr="00651CFF">
        <w:rPr>
          <w:rFonts w:cstheme="minorHAnsi"/>
          <w:color w:val="333333"/>
        </w:rPr>
        <w:t>and tak</w:t>
      </w:r>
      <w:r w:rsidR="00C70AE6">
        <w:rPr>
          <w:rFonts w:cstheme="minorHAnsi"/>
          <w:color w:val="333333"/>
        </w:rPr>
        <w:t>ing</w:t>
      </w:r>
      <w:r w:rsidR="0093534A" w:rsidRPr="00651CFF">
        <w:rPr>
          <w:rFonts w:cstheme="minorHAnsi"/>
          <w:color w:val="333333"/>
        </w:rPr>
        <w:t xml:space="preserve"> stock of recent and current crises</w:t>
      </w:r>
      <w:r w:rsidR="003A6833" w:rsidRPr="00651CFF">
        <w:rPr>
          <w:rFonts w:cstheme="minorHAnsi"/>
          <w:color w:val="333333"/>
        </w:rPr>
        <w:t xml:space="preserve">. </w:t>
      </w:r>
      <w:r w:rsidR="003E3F0A">
        <w:rPr>
          <w:rFonts w:cstheme="minorHAnsi"/>
          <w:color w:val="333333"/>
        </w:rPr>
        <w:t xml:space="preserve">The course stresses the inter-institutional dynamics at play </w:t>
      </w:r>
      <w:r w:rsidR="006C0433">
        <w:rPr>
          <w:rFonts w:cstheme="minorHAnsi"/>
          <w:color w:val="333333"/>
        </w:rPr>
        <w:t>in the complex, multilevel and overlapping,</w:t>
      </w:r>
      <w:r w:rsidR="003E3F0A">
        <w:rPr>
          <w:rFonts w:cstheme="minorHAnsi"/>
          <w:color w:val="333333"/>
        </w:rPr>
        <w:t xml:space="preserve"> the European human rights</w:t>
      </w:r>
      <w:r w:rsidR="006C0433">
        <w:rPr>
          <w:rFonts w:cstheme="minorHAnsi"/>
          <w:color w:val="333333"/>
        </w:rPr>
        <w:t xml:space="preserve"> </w:t>
      </w:r>
      <w:r w:rsidR="00006C43">
        <w:rPr>
          <w:rFonts w:cstheme="minorHAnsi"/>
          <w:color w:val="333333"/>
        </w:rPr>
        <w:t>regimes, with an emphasis on the role of EU institutions and bodies,</w:t>
      </w:r>
      <w:r w:rsidR="006C0433">
        <w:rPr>
          <w:rFonts w:cstheme="minorHAnsi"/>
          <w:color w:val="333333"/>
        </w:rPr>
        <w:t xml:space="preserve"> </w:t>
      </w:r>
      <w:r w:rsidR="00993A43">
        <w:rPr>
          <w:rFonts w:cstheme="minorHAnsi"/>
          <w:color w:val="333333"/>
        </w:rPr>
        <w:t>but also inviting a reflection on the</w:t>
      </w:r>
      <w:r w:rsidR="00BD2160">
        <w:rPr>
          <w:rFonts w:cstheme="minorHAnsi"/>
          <w:color w:val="333333"/>
        </w:rPr>
        <w:t xml:space="preserve"> influence of </w:t>
      </w:r>
      <w:r w:rsidR="00D030BA">
        <w:rPr>
          <w:rFonts w:cstheme="minorHAnsi"/>
          <w:color w:val="333333"/>
        </w:rPr>
        <w:t>actors</w:t>
      </w:r>
      <w:r w:rsidR="00993A43">
        <w:rPr>
          <w:rFonts w:cstheme="minorHAnsi"/>
          <w:color w:val="333333"/>
        </w:rPr>
        <w:t xml:space="preserve"> (including civil society)</w:t>
      </w:r>
      <w:r w:rsidR="00D030BA">
        <w:rPr>
          <w:rFonts w:cstheme="minorHAnsi"/>
          <w:color w:val="333333"/>
        </w:rPr>
        <w:t xml:space="preserve">. </w:t>
      </w:r>
      <w:r w:rsidRPr="00651CFF">
        <w:rPr>
          <w:rFonts w:cstheme="minorHAnsi"/>
          <w:color w:val="333333"/>
        </w:rPr>
        <w:t>Each class explores particular</w:t>
      </w:r>
      <w:r w:rsidR="008B1D79">
        <w:rPr>
          <w:rFonts w:cstheme="minorHAnsi"/>
          <w:color w:val="333333"/>
        </w:rPr>
        <w:t xml:space="preserve"> </w:t>
      </w:r>
      <w:r w:rsidRPr="00651CFF">
        <w:rPr>
          <w:rFonts w:cstheme="minorHAnsi"/>
          <w:color w:val="333333"/>
        </w:rPr>
        <w:t>features of the EU system of protection of fundamental/human rights, and links them to policy areas</w:t>
      </w:r>
      <w:r w:rsidR="004F3678">
        <w:rPr>
          <w:rFonts w:cstheme="minorHAnsi"/>
          <w:color w:val="333333"/>
        </w:rPr>
        <w:t xml:space="preserve"> </w:t>
      </w:r>
      <w:r w:rsidR="002A6B1A">
        <w:rPr>
          <w:rFonts w:cstheme="minorHAnsi"/>
          <w:color w:val="333333"/>
        </w:rPr>
        <w:t xml:space="preserve">(both internal and external) </w:t>
      </w:r>
      <w:r w:rsidR="00F26930">
        <w:rPr>
          <w:rFonts w:cstheme="minorHAnsi"/>
          <w:color w:val="333333"/>
        </w:rPr>
        <w:t>in</w:t>
      </w:r>
      <w:r w:rsidR="00C70AE6">
        <w:rPr>
          <w:rFonts w:cstheme="minorHAnsi"/>
          <w:color w:val="333333"/>
        </w:rPr>
        <w:t xml:space="preserve"> </w:t>
      </w:r>
      <w:r w:rsidRPr="00651CFF">
        <w:rPr>
          <w:rFonts w:cstheme="minorHAnsi"/>
          <w:color w:val="333333"/>
        </w:rPr>
        <w:t xml:space="preserve">which </w:t>
      </w:r>
      <w:r w:rsidR="00DC08D8">
        <w:rPr>
          <w:rFonts w:cstheme="minorHAnsi"/>
          <w:color w:val="333333"/>
        </w:rPr>
        <w:t>they</w:t>
      </w:r>
      <w:r w:rsidRPr="00651CFF">
        <w:rPr>
          <w:rFonts w:cstheme="minorHAnsi"/>
          <w:color w:val="333333"/>
        </w:rPr>
        <w:t xml:space="preserve"> </w:t>
      </w:r>
      <w:r w:rsidR="004F3678">
        <w:rPr>
          <w:rFonts w:cstheme="minorHAnsi"/>
          <w:color w:val="333333"/>
        </w:rPr>
        <w:t xml:space="preserve">have </w:t>
      </w:r>
      <w:r w:rsidRPr="00651CFF">
        <w:rPr>
          <w:rFonts w:cstheme="minorHAnsi"/>
          <w:color w:val="333333"/>
        </w:rPr>
        <w:t>acquire</w:t>
      </w:r>
      <w:r w:rsidR="004F3678">
        <w:rPr>
          <w:rFonts w:cstheme="minorHAnsi"/>
          <w:color w:val="333333"/>
        </w:rPr>
        <w:t>d</w:t>
      </w:r>
      <w:r w:rsidRPr="00651CFF">
        <w:rPr>
          <w:rFonts w:cstheme="minorHAnsi"/>
          <w:color w:val="333333"/>
        </w:rPr>
        <w:t xml:space="preserve"> particular relevance</w:t>
      </w:r>
      <w:r w:rsidR="00993539" w:rsidRPr="00651CFF">
        <w:rPr>
          <w:rFonts w:cstheme="minorHAnsi"/>
          <w:color w:val="333333"/>
        </w:rPr>
        <w:t>.</w:t>
      </w:r>
      <w:r w:rsidR="00B02446">
        <w:rPr>
          <w:rFonts w:cstheme="minorHAnsi"/>
          <w:color w:val="333333"/>
        </w:rPr>
        <w:t xml:space="preserve"> The course </w:t>
      </w:r>
      <w:r w:rsidR="00BF78BA">
        <w:rPr>
          <w:rFonts w:cstheme="minorHAnsi"/>
          <w:color w:val="333333"/>
        </w:rPr>
        <w:t>includes simulation exercise</w:t>
      </w:r>
      <w:r w:rsidR="00100783">
        <w:rPr>
          <w:rFonts w:cstheme="minorHAnsi"/>
          <w:color w:val="333333"/>
        </w:rPr>
        <w:t>s</w:t>
      </w:r>
      <w:r w:rsidR="00BF78BA">
        <w:rPr>
          <w:rFonts w:cstheme="minorHAnsi"/>
          <w:color w:val="333333"/>
        </w:rPr>
        <w:t xml:space="preserve"> and ends on</w:t>
      </w:r>
      <w:r w:rsidR="00B02446">
        <w:rPr>
          <w:rFonts w:cstheme="minorHAnsi"/>
          <w:color w:val="333333"/>
        </w:rPr>
        <w:t xml:space="preserve"> a</w:t>
      </w:r>
      <w:r w:rsidR="00742D30">
        <w:rPr>
          <w:rFonts w:cstheme="minorHAnsi"/>
          <w:color w:val="333333"/>
        </w:rPr>
        <w:t xml:space="preserve"> study</w:t>
      </w:r>
      <w:r w:rsidR="00B02446">
        <w:rPr>
          <w:rFonts w:cstheme="minorHAnsi"/>
          <w:color w:val="333333"/>
        </w:rPr>
        <w:t xml:space="preserve"> visit to the EU Fundamental Rights Agency (based in Vienna)</w:t>
      </w:r>
      <w:r w:rsidR="00742D30">
        <w:rPr>
          <w:rFonts w:cstheme="minorHAnsi"/>
          <w:color w:val="333333"/>
        </w:rPr>
        <w:t>.</w:t>
      </w:r>
    </w:p>
    <w:p w14:paraId="34293BA9" w14:textId="77777777" w:rsidR="00993539" w:rsidRPr="00651CFF" w:rsidRDefault="00993539" w:rsidP="00CC66E7">
      <w:pPr>
        <w:widowControl w:val="0"/>
        <w:autoSpaceDE w:val="0"/>
        <w:autoSpaceDN w:val="0"/>
        <w:adjustRightInd w:val="0"/>
        <w:spacing w:before="44" w:line="240" w:lineRule="auto"/>
        <w:rPr>
          <w:rFonts w:cs="Arial"/>
          <w:color w:val="000000"/>
        </w:rPr>
      </w:pPr>
    </w:p>
    <w:p w14:paraId="4C5FE622" w14:textId="4155C6D4" w:rsidR="008667F2" w:rsidRPr="00651CFF" w:rsidRDefault="00DC5D16" w:rsidP="00E22EBB">
      <w:pPr>
        <w:pStyle w:val="Heading1"/>
      </w:pPr>
      <w:r w:rsidRPr="00651CFF">
        <w:t>GOALS</w:t>
      </w:r>
    </w:p>
    <w:p w14:paraId="4BA52716" w14:textId="2CAF18FE" w:rsidR="00DB6372" w:rsidRPr="00651CFF" w:rsidRDefault="00D94230" w:rsidP="008667F2">
      <w:pPr>
        <w:widowControl w:val="0"/>
        <w:autoSpaceDE w:val="0"/>
        <w:autoSpaceDN w:val="0"/>
        <w:adjustRightInd w:val="0"/>
        <w:spacing w:before="46" w:line="240" w:lineRule="auto"/>
        <w:rPr>
          <w:rFonts w:cs="Cambria"/>
          <w:b/>
          <w:bCs/>
          <w:color w:val="000000"/>
        </w:rPr>
      </w:pPr>
      <w:r w:rsidRPr="00651CFF">
        <w:rPr>
          <w:rFonts w:cstheme="minorHAnsi"/>
          <w:color w:val="333333"/>
        </w:rPr>
        <w:t xml:space="preserve">The course seeks to provide students with an </w:t>
      </w:r>
      <w:r w:rsidR="00B02446">
        <w:rPr>
          <w:rFonts w:cstheme="minorHAnsi"/>
          <w:color w:val="333333"/>
        </w:rPr>
        <w:t>extensive</w:t>
      </w:r>
      <w:r w:rsidRPr="00651CFF">
        <w:rPr>
          <w:rFonts w:cstheme="minorHAnsi"/>
          <w:color w:val="333333"/>
        </w:rPr>
        <w:t xml:space="preserve"> knowledge of EU human rights law and policy</w:t>
      </w:r>
      <w:r>
        <w:rPr>
          <w:rFonts w:cstheme="minorHAnsi"/>
          <w:color w:val="333333"/>
        </w:rPr>
        <w:t xml:space="preserve"> frameworks</w:t>
      </w:r>
      <w:r w:rsidRPr="00651CFF">
        <w:rPr>
          <w:rFonts w:cstheme="minorHAnsi"/>
          <w:color w:val="333333"/>
        </w:rPr>
        <w:t>, and</w:t>
      </w:r>
      <w:r w:rsidR="00671728">
        <w:rPr>
          <w:rFonts w:cstheme="minorHAnsi"/>
          <w:color w:val="333333"/>
        </w:rPr>
        <w:t xml:space="preserve"> a sound understand</w:t>
      </w:r>
      <w:r w:rsidR="00FE150C">
        <w:rPr>
          <w:rFonts w:cstheme="minorHAnsi"/>
          <w:color w:val="333333"/>
        </w:rPr>
        <w:t>ing</w:t>
      </w:r>
      <w:r w:rsidR="00671728">
        <w:rPr>
          <w:rFonts w:cstheme="minorHAnsi"/>
          <w:color w:val="333333"/>
        </w:rPr>
        <w:t xml:space="preserve"> of their</w:t>
      </w:r>
      <w:r w:rsidRPr="00651CFF">
        <w:rPr>
          <w:rFonts w:cstheme="minorHAnsi"/>
          <w:color w:val="333333"/>
        </w:rPr>
        <w:t xml:space="preserve"> implications</w:t>
      </w:r>
      <w:r>
        <w:rPr>
          <w:rFonts w:cstheme="minorHAnsi"/>
          <w:color w:val="333333"/>
        </w:rPr>
        <w:t xml:space="preserve"> for governance in the EU</w:t>
      </w:r>
      <w:r w:rsidRPr="00651CFF">
        <w:rPr>
          <w:rFonts w:cstheme="minorHAnsi"/>
          <w:color w:val="333333"/>
        </w:rPr>
        <w:t xml:space="preserve">. </w:t>
      </w:r>
      <w:r w:rsidR="00E31C8C">
        <w:rPr>
          <w:rFonts w:cstheme="minorHAnsi"/>
          <w:color w:val="333333"/>
        </w:rPr>
        <w:t xml:space="preserve">It </w:t>
      </w:r>
      <w:r w:rsidR="00FE150C">
        <w:rPr>
          <w:rFonts w:cstheme="minorHAnsi"/>
          <w:color w:val="333333"/>
        </w:rPr>
        <w:t xml:space="preserve">also </w:t>
      </w:r>
      <w:r w:rsidR="00E31C8C">
        <w:rPr>
          <w:rFonts w:cstheme="minorHAnsi"/>
          <w:color w:val="333333"/>
        </w:rPr>
        <w:t xml:space="preserve">aims </w:t>
      </w:r>
      <w:r w:rsidR="00E31C8C">
        <w:rPr>
          <w:rFonts w:cstheme="minorHAnsi"/>
          <w:color w:val="333333"/>
        </w:rPr>
        <w:lastRenderedPageBreak/>
        <w:t xml:space="preserve">to equip </w:t>
      </w:r>
      <w:r w:rsidR="00DB6372" w:rsidRPr="00651CFF">
        <w:rPr>
          <w:rFonts w:cstheme="minorHAnsi"/>
          <w:color w:val="333333"/>
        </w:rPr>
        <w:t xml:space="preserve">students  </w:t>
      </w:r>
      <w:r w:rsidR="00FE150C">
        <w:rPr>
          <w:rFonts w:cstheme="minorHAnsi"/>
          <w:color w:val="333333"/>
        </w:rPr>
        <w:t xml:space="preserve">with </w:t>
      </w:r>
      <w:r w:rsidR="00DB6372" w:rsidRPr="00651CFF">
        <w:rPr>
          <w:rFonts w:cstheme="minorHAnsi"/>
          <w:color w:val="333333"/>
        </w:rPr>
        <w:t xml:space="preserve">analytical tools </w:t>
      </w:r>
      <w:r w:rsidR="00E31C8C">
        <w:rPr>
          <w:rFonts w:cstheme="minorHAnsi"/>
          <w:color w:val="333333"/>
        </w:rPr>
        <w:t>for assessing the</w:t>
      </w:r>
      <w:r w:rsidR="00DB6372" w:rsidRPr="00651CFF">
        <w:rPr>
          <w:rFonts w:cstheme="minorHAnsi"/>
          <w:color w:val="333333"/>
        </w:rPr>
        <w:t xml:space="preserve"> </w:t>
      </w:r>
      <w:r w:rsidR="00B92A90">
        <w:rPr>
          <w:rFonts w:cstheme="minorHAnsi"/>
          <w:color w:val="333333"/>
        </w:rPr>
        <w:t>significance</w:t>
      </w:r>
      <w:r w:rsidR="00DB6372" w:rsidRPr="00651CFF">
        <w:rPr>
          <w:rFonts w:cstheme="minorHAnsi"/>
          <w:color w:val="333333"/>
        </w:rPr>
        <w:t xml:space="preserve"> of human rights </w:t>
      </w:r>
      <w:r w:rsidR="002377D5">
        <w:rPr>
          <w:rFonts w:cstheme="minorHAnsi"/>
          <w:color w:val="333333"/>
        </w:rPr>
        <w:t>in</w:t>
      </w:r>
      <w:r w:rsidR="00DB6372" w:rsidRPr="00651CFF">
        <w:rPr>
          <w:rFonts w:cstheme="minorHAnsi"/>
          <w:color w:val="333333"/>
        </w:rPr>
        <w:t xml:space="preserve"> European integration</w:t>
      </w:r>
      <w:r w:rsidR="00C51E3E">
        <w:rPr>
          <w:rFonts w:cstheme="minorHAnsi"/>
          <w:color w:val="333333"/>
        </w:rPr>
        <w:t xml:space="preserve">, </w:t>
      </w:r>
      <w:r w:rsidR="00DB6372" w:rsidRPr="00651CFF">
        <w:rPr>
          <w:rFonts w:cstheme="minorHAnsi"/>
          <w:color w:val="333333"/>
        </w:rPr>
        <w:t>governance</w:t>
      </w:r>
      <w:r w:rsidR="00C51E3E">
        <w:rPr>
          <w:rFonts w:cstheme="minorHAnsi"/>
          <w:color w:val="333333"/>
        </w:rPr>
        <w:t xml:space="preserve"> and policies</w:t>
      </w:r>
      <w:r w:rsidR="00DB6372" w:rsidRPr="00651CFF">
        <w:rPr>
          <w:rFonts w:cstheme="minorHAnsi"/>
          <w:color w:val="333333"/>
        </w:rPr>
        <w:t xml:space="preserve">, whilst improving their understanding of </w:t>
      </w:r>
      <w:r w:rsidR="00136018">
        <w:rPr>
          <w:rFonts w:cstheme="minorHAnsi"/>
          <w:color w:val="333333"/>
        </w:rPr>
        <w:t xml:space="preserve">the </w:t>
      </w:r>
      <w:r w:rsidR="00DB6372" w:rsidRPr="00651CFF">
        <w:rPr>
          <w:rFonts w:cstheme="minorHAnsi"/>
          <w:color w:val="333333"/>
        </w:rPr>
        <w:t>law and policy</w:t>
      </w:r>
      <w:r w:rsidR="007A42FA">
        <w:rPr>
          <w:rFonts w:cstheme="minorHAnsi"/>
          <w:color w:val="333333"/>
        </w:rPr>
        <w:t>-making in</w:t>
      </w:r>
      <w:r w:rsidR="00136018">
        <w:rPr>
          <w:rFonts w:cstheme="minorHAnsi"/>
          <w:color w:val="333333"/>
        </w:rPr>
        <w:t xml:space="preserve"> the</w:t>
      </w:r>
      <w:r w:rsidR="00DB6372" w:rsidRPr="00651CFF">
        <w:rPr>
          <w:rFonts w:cstheme="minorHAnsi"/>
          <w:color w:val="333333"/>
        </w:rPr>
        <w:t xml:space="preserve"> EU</w:t>
      </w:r>
      <w:r w:rsidR="00610D85">
        <w:rPr>
          <w:rFonts w:cstheme="minorHAnsi"/>
          <w:color w:val="333333"/>
        </w:rPr>
        <w:t>. It also seeks to enhance</w:t>
      </w:r>
      <w:r w:rsidR="00DB6372" w:rsidRPr="00651CFF">
        <w:rPr>
          <w:rFonts w:cstheme="minorHAnsi"/>
          <w:color w:val="333333"/>
        </w:rPr>
        <w:t xml:space="preserve"> </w:t>
      </w:r>
      <w:r w:rsidR="00F97287">
        <w:rPr>
          <w:rFonts w:cstheme="minorHAnsi"/>
          <w:color w:val="333333"/>
        </w:rPr>
        <w:t>t</w:t>
      </w:r>
      <w:r w:rsidR="00DB6372" w:rsidRPr="00651CFF">
        <w:rPr>
          <w:rFonts w:cstheme="minorHAnsi"/>
          <w:color w:val="333333"/>
        </w:rPr>
        <w:t>heir ability to work across disciplines and professional categories</w:t>
      </w:r>
      <w:r w:rsidR="00FE2C75">
        <w:rPr>
          <w:rFonts w:cstheme="minorHAnsi"/>
          <w:color w:val="333333"/>
        </w:rPr>
        <w:t xml:space="preserve"> and solve problems, </w:t>
      </w:r>
      <w:r w:rsidR="00F97287">
        <w:rPr>
          <w:rFonts w:cstheme="minorHAnsi"/>
          <w:color w:val="333333"/>
        </w:rPr>
        <w:t>and</w:t>
      </w:r>
      <w:r w:rsidR="00FE2C75">
        <w:rPr>
          <w:rFonts w:cstheme="minorHAnsi"/>
          <w:color w:val="333333"/>
        </w:rPr>
        <w:t xml:space="preserve"> to</w:t>
      </w:r>
      <w:r w:rsidR="00F97287">
        <w:rPr>
          <w:rFonts w:cstheme="minorHAnsi"/>
          <w:color w:val="333333"/>
        </w:rPr>
        <w:t xml:space="preserve"> </w:t>
      </w:r>
      <w:r w:rsidR="009E1BE6">
        <w:rPr>
          <w:rFonts w:cstheme="minorHAnsi"/>
          <w:color w:val="333333"/>
        </w:rPr>
        <w:t xml:space="preserve">further </w:t>
      </w:r>
      <w:r w:rsidR="00A42B7A">
        <w:rPr>
          <w:rFonts w:cstheme="minorHAnsi"/>
          <w:color w:val="333333"/>
        </w:rPr>
        <w:t xml:space="preserve">improve on </w:t>
      </w:r>
      <w:r w:rsidR="009E1BE6">
        <w:rPr>
          <w:rFonts w:cstheme="minorHAnsi"/>
          <w:color w:val="333333"/>
        </w:rPr>
        <w:t xml:space="preserve">their </w:t>
      </w:r>
      <w:r w:rsidR="00F97287">
        <w:rPr>
          <w:rFonts w:cstheme="minorHAnsi"/>
          <w:color w:val="333333"/>
        </w:rPr>
        <w:t>written and oral communication skills</w:t>
      </w:r>
      <w:r w:rsidR="00DB6372" w:rsidRPr="00651CFF">
        <w:rPr>
          <w:rFonts w:cstheme="minorHAnsi"/>
          <w:color w:val="333333"/>
        </w:rPr>
        <w:t>.  </w:t>
      </w:r>
    </w:p>
    <w:p w14:paraId="5DAB6C7B" w14:textId="77777777" w:rsidR="008667F2" w:rsidRPr="00651CFF" w:rsidRDefault="008667F2" w:rsidP="008667F2">
      <w:pPr>
        <w:widowControl w:val="0"/>
        <w:autoSpaceDE w:val="0"/>
        <w:autoSpaceDN w:val="0"/>
        <w:adjustRightInd w:val="0"/>
        <w:spacing w:line="240" w:lineRule="auto"/>
        <w:rPr>
          <w:rFonts w:cs="Cambria"/>
          <w:b/>
          <w:bCs/>
          <w:color w:val="000000"/>
        </w:rPr>
      </w:pPr>
    </w:p>
    <w:p w14:paraId="3685CD49" w14:textId="12B98717" w:rsidR="00E23DCB" w:rsidRPr="00651CFF" w:rsidRDefault="00DC5D16" w:rsidP="00E22EBB">
      <w:pPr>
        <w:pStyle w:val="Heading1"/>
      </w:pPr>
      <w:r w:rsidRPr="00651CFF">
        <w:t>LEARNING OUTCOMES</w:t>
      </w:r>
    </w:p>
    <w:p w14:paraId="278456DA" w14:textId="77777777" w:rsidR="00AC45D0" w:rsidRPr="00651CFF" w:rsidRDefault="00AC45D0" w:rsidP="00D63DDB">
      <w:pPr>
        <w:widowControl w:val="0"/>
        <w:autoSpaceDE w:val="0"/>
        <w:autoSpaceDN w:val="0"/>
        <w:adjustRightInd w:val="0"/>
        <w:spacing w:line="240" w:lineRule="auto"/>
        <w:rPr>
          <w:rFonts w:cs="Cambria"/>
          <w:color w:val="000000"/>
        </w:rPr>
      </w:pPr>
      <w:r w:rsidRPr="00651CFF">
        <w:rPr>
          <w:rFonts w:cs="Cambria"/>
          <w:color w:val="000000"/>
        </w:rPr>
        <w:t>At the end of the course, students should:</w:t>
      </w:r>
    </w:p>
    <w:p w14:paraId="42383F43" w14:textId="3F9559F9" w:rsidR="00D86DF0" w:rsidRPr="00651CFF" w:rsidRDefault="002F7C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color w:val="000000"/>
        </w:rPr>
      </w:pPr>
      <w:r w:rsidRPr="00651CFF">
        <w:rPr>
          <w:rFonts w:cs="Cambria"/>
          <w:color w:val="000000"/>
        </w:rPr>
        <w:t xml:space="preserve">Be able to identify milestones in the development of </w:t>
      </w:r>
      <w:r w:rsidR="00D86DF0" w:rsidRPr="00651CFF">
        <w:rPr>
          <w:rFonts w:cs="Cambria"/>
          <w:color w:val="000000"/>
        </w:rPr>
        <w:t>EU human rights law and policies since WWII</w:t>
      </w:r>
      <w:r w:rsidR="00722D6C">
        <w:rPr>
          <w:rFonts w:cs="Cambria"/>
          <w:color w:val="000000"/>
        </w:rPr>
        <w:t>.</w:t>
      </w:r>
    </w:p>
    <w:p w14:paraId="2E0C20BD" w14:textId="6CA4B9CD" w:rsidR="0001645A" w:rsidRPr="00651CFF" w:rsidRDefault="008C74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Be knowledgeable about the</w:t>
      </w:r>
      <w:r w:rsidR="001F4EBE" w:rsidRPr="00651CFF">
        <w:rPr>
          <w:rFonts w:cs="Cambria"/>
          <w:color w:val="000000"/>
        </w:rPr>
        <w:t xml:space="preserve"> institutional, legal and policy frameworks for the protection </w:t>
      </w:r>
      <w:r w:rsidR="00377440" w:rsidRPr="00651CFF">
        <w:rPr>
          <w:rFonts w:cs="Cambria"/>
          <w:color w:val="000000"/>
        </w:rPr>
        <w:t xml:space="preserve">and promotion </w:t>
      </w:r>
      <w:r w:rsidR="001F4EBE" w:rsidRPr="00651CFF">
        <w:rPr>
          <w:rFonts w:cs="Cambria"/>
          <w:color w:val="000000"/>
        </w:rPr>
        <w:t>of human rights in</w:t>
      </w:r>
      <w:r>
        <w:rPr>
          <w:rFonts w:cs="Cambria"/>
          <w:color w:val="000000"/>
        </w:rPr>
        <w:t xml:space="preserve">, and by, </w:t>
      </w:r>
      <w:r w:rsidR="001F4EBE" w:rsidRPr="00651CFF">
        <w:rPr>
          <w:rFonts w:cs="Cambria"/>
          <w:color w:val="000000"/>
        </w:rPr>
        <w:t>the EU</w:t>
      </w:r>
      <w:r w:rsidR="00B33900">
        <w:rPr>
          <w:rFonts w:cs="Cambria"/>
          <w:color w:val="000000"/>
        </w:rPr>
        <w:t>, and be able to critically asse</w:t>
      </w:r>
      <w:r w:rsidR="009906BF">
        <w:rPr>
          <w:rFonts w:cs="Cambria"/>
          <w:color w:val="000000"/>
        </w:rPr>
        <w:t>s</w:t>
      </w:r>
      <w:r w:rsidR="00B33900">
        <w:rPr>
          <w:rFonts w:cs="Cambria"/>
          <w:color w:val="000000"/>
        </w:rPr>
        <w:t>s them;</w:t>
      </w:r>
    </w:p>
    <w:p w14:paraId="766CAAAD" w14:textId="69628E05" w:rsidR="00446BE8" w:rsidRPr="00651CFF" w:rsidRDefault="00605C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color w:val="000000"/>
        </w:rPr>
      </w:pPr>
      <w:r w:rsidRPr="00651CFF">
        <w:rPr>
          <w:rFonts w:cs="Cambria"/>
          <w:color w:val="000000"/>
        </w:rPr>
        <w:t xml:space="preserve">Be able to </w:t>
      </w:r>
      <w:r w:rsidR="00A42B7A">
        <w:rPr>
          <w:rFonts w:cs="Cambria"/>
          <w:color w:val="000000"/>
        </w:rPr>
        <w:t xml:space="preserve">identify and </w:t>
      </w:r>
      <w:r w:rsidRPr="00651CFF">
        <w:rPr>
          <w:rFonts w:cs="Cambria"/>
          <w:color w:val="000000"/>
        </w:rPr>
        <w:t>a</w:t>
      </w:r>
      <w:r w:rsidR="00446BE8" w:rsidRPr="00651CFF">
        <w:rPr>
          <w:rFonts w:cs="Cambria"/>
          <w:color w:val="000000"/>
        </w:rPr>
        <w:t>ssess</w:t>
      </w:r>
      <w:r w:rsidR="00BE1154">
        <w:rPr>
          <w:rFonts w:cs="Cambria"/>
          <w:color w:val="000000"/>
        </w:rPr>
        <w:t xml:space="preserve"> their implications for</w:t>
      </w:r>
      <w:r w:rsidR="00446BE8" w:rsidRPr="00651CFF">
        <w:rPr>
          <w:rFonts w:cs="Cambria"/>
          <w:color w:val="000000"/>
        </w:rPr>
        <w:t xml:space="preserve"> </w:t>
      </w:r>
      <w:r w:rsidR="00377440" w:rsidRPr="00651CFF">
        <w:rPr>
          <w:rFonts w:cs="Cambria"/>
          <w:color w:val="000000"/>
        </w:rPr>
        <w:t xml:space="preserve">law and </w:t>
      </w:r>
      <w:r w:rsidR="00446BE8" w:rsidRPr="00651CFF">
        <w:rPr>
          <w:rFonts w:cs="Cambria"/>
          <w:color w:val="000000"/>
        </w:rPr>
        <w:t>policy-making in the EU</w:t>
      </w:r>
      <w:r w:rsidR="00722D6C">
        <w:rPr>
          <w:rFonts w:cs="Cambria"/>
          <w:color w:val="000000"/>
        </w:rPr>
        <w:t>.</w:t>
      </w:r>
    </w:p>
    <w:p w14:paraId="50B13F2D" w14:textId="50225517" w:rsidR="00977905" w:rsidRPr="00651CFF" w:rsidRDefault="00943E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color w:val="000000"/>
        </w:rPr>
      </w:pPr>
      <w:r w:rsidRPr="00651CFF">
        <w:rPr>
          <w:rFonts w:cs="Cambria"/>
          <w:color w:val="000000"/>
        </w:rPr>
        <w:t xml:space="preserve">Be able to </w:t>
      </w:r>
      <w:r w:rsidR="009E74A4">
        <w:rPr>
          <w:rFonts w:cs="Cambria"/>
          <w:color w:val="000000"/>
        </w:rPr>
        <w:t xml:space="preserve">frame </w:t>
      </w:r>
      <w:r w:rsidR="00364A5C" w:rsidRPr="00651CFF">
        <w:rPr>
          <w:rFonts w:cs="Cambria"/>
          <w:color w:val="000000"/>
        </w:rPr>
        <w:t xml:space="preserve">human rights issues </w:t>
      </w:r>
      <w:r w:rsidR="00722D6C">
        <w:rPr>
          <w:rFonts w:cs="Cambria"/>
          <w:color w:val="000000"/>
        </w:rPr>
        <w:t xml:space="preserve">within EU </w:t>
      </w:r>
      <w:r w:rsidR="000B1B1A">
        <w:rPr>
          <w:rFonts w:cs="Cambria"/>
          <w:color w:val="000000"/>
        </w:rPr>
        <w:t>law for practical purposes (eg</w:t>
      </w:r>
      <w:r w:rsidR="00B91003">
        <w:rPr>
          <w:rFonts w:cs="Cambria"/>
          <w:color w:val="000000"/>
        </w:rPr>
        <w:t xml:space="preserve"> </w:t>
      </w:r>
      <w:r w:rsidR="0016278B" w:rsidRPr="00651CFF">
        <w:rPr>
          <w:rFonts w:cs="Cambria"/>
          <w:color w:val="000000"/>
        </w:rPr>
        <w:t>strategic litigation</w:t>
      </w:r>
      <w:r w:rsidR="00B91003">
        <w:rPr>
          <w:rFonts w:cs="Cambria"/>
          <w:color w:val="000000"/>
        </w:rPr>
        <w:t>, advocacy</w:t>
      </w:r>
      <w:r w:rsidR="0016278B" w:rsidRPr="00651CFF">
        <w:rPr>
          <w:rFonts w:cs="Cambria"/>
          <w:color w:val="000000"/>
        </w:rPr>
        <w:t>)</w:t>
      </w:r>
      <w:r w:rsidR="002A5C67">
        <w:rPr>
          <w:rFonts w:cs="Cambria"/>
          <w:color w:val="000000"/>
        </w:rPr>
        <w:t>.</w:t>
      </w:r>
    </w:p>
    <w:p w14:paraId="399999DD" w14:textId="2FBFAF09" w:rsidR="002B394E" w:rsidRPr="00651CFF" w:rsidRDefault="002B39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color w:val="000000"/>
        </w:rPr>
      </w:pPr>
      <w:r w:rsidRPr="00651CFF">
        <w:rPr>
          <w:rFonts w:cs="Cambria"/>
          <w:color w:val="000000"/>
        </w:rPr>
        <w:t xml:space="preserve">Be familiar with the main </w:t>
      </w:r>
      <w:r w:rsidR="00CB35EB" w:rsidRPr="00651CFF">
        <w:rPr>
          <w:rFonts w:cs="Cambria"/>
          <w:color w:val="000000"/>
        </w:rPr>
        <w:t xml:space="preserve">institutional and civil society </w:t>
      </w:r>
      <w:r w:rsidRPr="00651CFF">
        <w:rPr>
          <w:rFonts w:cs="Cambria"/>
          <w:color w:val="000000"/>
        </w:rPr>
        <w:t xml:space="preserve">actors and their influence </w:t>
      </w:r>
      <w:r w:rsidR="00872DE4" w:rsidRPr="00651CFF">
        <w:rPr>
          <w:rFonts w:cs="Cambria"/>
          <w:color w:val="000000"/>
        </w:rPr>
        <w:t>on the</w:t>
      </w:r>
      <w:r w:rsidR="004E7CE3" w:rsidRPr="00651CFF">
        <w:rPr>
          <w:rFonts w:cs="Cambria"/>
          <w:color w:val="000000"/>
        </w:rPr>
        <w:t xml:space="preserve"> protection of human rights in/by the EU</w:t>
      </w:r>
      <w:r w:rsidR="002A5C67">
        <w:rPr>
          <w:rFonts w:cs="Cambria"/>
          <w:color w:val="000000"/>
        </w:rPr>
        <w:t>.</w:t>
      </w:r>
    </w:p>
    <w:p w14:paraId="03FF9F29" w14:textId="4CD23422" w:rsidR="00E23DCB" w:rsidRPr="00651CFF" w:rsidRDefault="00872D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b/>
          <w:bCs/>
          <w:color w:val="000000"/>
        </w:rPr>
      </w:pPr>
      <w:r w:rsidRPr="00651CFF">
        <w:rPr>
          <w:rFonts w:cs="Cambria"/>
          <w:color w:val="000000"/>
        </w:rPr>
        <w:t xml:space="preserve">Have </w:t>
      </w:r>
      <w:r w:rsidR="006F36C2" w:rsidRPr="00651CFF">
        <w:rPr>
          <w:rFonts w:cs="Cambria"/>
          <w:color w:val="000000"/>
        </w:rPr>
        <w:t>developed an</w:t>
      </w:r>
      <w:r w:rsidRPr="00651CFF">
        <w:rPr>
          <w:rFonts w:cs="Cambria"/>
          <w:color w:val="000000"/>
        </w:rPr>
        <w:t xml:space="preserve"> ability to critically engage with legal and policy materials</w:t>
      </w:r>
      <w:r w:rsidR="006F36C2" w:rsidRPr="00651CFF">
        <w:rPr>
          <w:rFonts w:cs="Cambria"/>
          <w:color w:val="000000"/>
        </w:rPr>
        <w:t xml:space="preserve"> and </w:t>
      </w:r>
      <w:r w:rsidR="004E75C9" w:rsidRPr="00651CFF">
        <w:rPr>
          <w:rFonts w:cs="Cambria"/>
          <w:color w:val="000000"/>
        </w:rPr>
        <w:t xml:space="preserve">familiarity with </w:t>
      </w:r>
      <w:r w:rsidR="00671D64">
        <w:rPr>
          <w:rFonts w:cs="Cambria"/>
          <w:color w:val="000000"/>
        </w:rPr>
        <w:t>core</w:t>
      </w:r>
      <w:r w:rsidR="004E75C9" w:rsidRPr="00651CFF">
        <w:rPr>
          <w:rFonts w:cs="Cambria"/>
          <w:color w:val="000000"/>
        </w:rPr>
        <w:t xml:space="preserve"> </w:t>
      </w:r>
      <w:r w:rsidR="00FA7331" w:rsidRPr="00651CFF">
        <w:rPr>
          <w:rFonts w:cs="Cambria"/>
          <w:color w:val="000000"/>
        </w:rPr>
        <w:t>techniques</w:t>
      </w:r>
      <w:r w:rsidR="008F2905" w:rsidRPr="00651CFF">
        <w:rPr>
          <w:rFonts w:cs="Cambria"/>
          <w:color w:val="000000"/>
        </w:rPr>
        <w:t xml:space="preserve"> (</w:t>
      </w:r>
      <w:r w:rsidR="00EA4005" w:rsidRPr="00651CFF">
        <w:rPr>
          <w:rFonts w:cs="Cambria"/>
          <w:color w:val="000000"/>
        </w:rPr>
        <w:t xml:space="preserve">e.g. </w:t>
      </w:r>
      <w:r w:rsidR="008F2905" w:rsidRPr="00651CFF">
        <w:rPr>
          <w:rFonts w:cs="Cambria"/>
          <w:color w:val="000000"/>
        </w:rPr>
        <w:t>case</w:t>
      </w:r>
      <w:r w:rsidR="0075789B">
        <w:rPr>
          <w:rFonts w:cs="Cambria"/>
          <w:color w:val="000000"/>
        </w:rPr>
        <w:t xml:space="preserve"> and policy</w:t>
      </w:r>
      <w:r w:rsidR="008F2905" w:rsidRPr="00651CFF">
        <w:rPr>
          <w:rFonts w:cs="Cambria"/>
          <w:color w:val="000000"/>
        </w:rPr>
        <w:t xml:space="preserve"> brief</w:t>
      </w:r>
      <w:r w:rsidR="0075789B">
        <w:rPr>
          <w:rFonts w:cs="Cambria"/>
          <w:color w:val="000000"/>
        </w:rPr>
        <w:t>s</w:t>
      </w:r>
      <w:r w:rsidR="008F2905" w:rsidRPr="00651CFF">
        <w:rPr>
          <w:rFonts w:cs="Cambria"/>
          <w:color w:val="000000"/>
        </w:rPr>
        <w:t>, practical case</w:t>
      </w:r>
      <w:r w:rsidR="002377D5">
        <w:rPr>
          <w:rFonts w:cs="Cambria"/>
          <w:color w:val="000000"/>
        </w:rPr>
        <w:t xml:space="preserve"> solving</w:t>
      </w:r>
      <w:r w:rsidR="008F2905" w:rsidRPr="00651CFF">
        <w:rPr>
          <w:rFonts w:cs="Cambria"/>
          <w:color w:val="000000"/>
        </w:rPr>
        <w:t>,</w:t>
      </w:r>
      <w:r w:rsidR="007D33D0">
        <w:rPr>
          <w:rFonts w:cs="Cambria"/>
          <w:color w:val="000000"/>
        </w:rPr>
        <w:t xml:space="preserve"> conference presentation,</w:t>
      </w:r>
      <w:r w:rsidR="002A5C67">
        <w:rPr>
          <w:rFonts w:cs="Cambria"/>
          <w:color w:val="000000"/>
        </w:rPr>
        <w:t xml:space="preserve"> </w:t>
      </w:r>
      <w:r w:rsidR="0080274C">
        <w:rPr>
          <w:rFonts w:cs="Cambria"/>
          <w:color w:val="000000"/>
        </w:rPr>
        <w:t>etc)</w:t>
      </w:r>
    </w:p>
    <w:p w14:paraId="4882DF67" w14:textId="51E3D8CA" w:rsidR="00766BD4" w:rsidRPr="00651CFF" w:rsidRDefault="00FA73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b/>
          <w:bCs/>
          <w:color w:val="000000"/>
        </w:rPr>
      </w:pPr>
      <w:r w:rsidRPr="00651CFF">
        <w:rPr>
          <w:rFonts w:cs="Cambria"/>
          <w:color w:val="000000"/>
        </w:rPr>
        <w:t xml:space="preserve">Have improved on </w:t>
      </w:r>
      <w:r w:rsidR="00190C6A" w:rsidRPr="00651CFF">
        <w:rPr>
          <w:rFonts w:cs="Cambria"/>
          <w:color w:val="000000"/>
        </w:rPr>
        <w:t>the ability to work across and combine insights from different disciplinary perspectives for a better understanding of law and policy-making in the European context</w:t>
      </w:r>
      <w:r w:rsidR="0080274C">
        <w:rPr>
          <w:rFonts w:cs="Cambria"/>
          <w:color w:val="000000"/>
        </w:rPr>
        <w:t>.</w:t>
      </w:r>
    </w:p>
    <w:p w14:paraId="5186766D" w14:textId="2D00A7B5" w:rsidR="00190C6A" w:rsidRPr="00651CFF" w:rsidRDefault="00BA5A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mbria"/>
          <w:b/>
          <w:bCs/>
          <w:color w:val="000000"/>
        </w:rPr>
      </w:pPr>
      <w:r w:rsidRPr="00651CFF">
        <w:rPr>
          <w:rFonts w:cs="Cambria"/>
          <w:color w:val="000000"/>
        </w:rPr>
        <w:t xml:space="preserve">Have further developed </w:t>
      </w:r>
      <w:r w:rsidR="00EA4005" w:rsidRPr="00651CFF">
        <w:rPr>
          <w:rFonts w:cs="Cambria"/>
          <w:color w:val="000000"/>
        </w:rPr>
        <w:t xml:space="preserve">critical </w:t>
      </w:r>
      <w:r w:rsidRPr="00651CFF">
        <w:rPr>
          <w:rFonts w:cs="Cambria"/>
          <w:color w:val="000000"/>
        </w:rPr>
        <w:t xml:space="preserve">thinking </w:t>
      </w:r>
      <w:r w:rsidR="00EA4005" w:rsidRPr="00651CFF">
        <w:rPr>
          <w:rFonts w:cs="Cambria"/>
          <w:color w:val="000000"/>
        </w:rPr>
        <w:t xml:space="preserve">abilities </w:t>
      </w:r>
      <w:r w:rsidRPr="00651CFF">
        <w:rPr>
          <w:rFonts w:cs="Cambria"/>
          <w:color w:val="000000"/>
        </w:rPr>
        <w:t>and effect</w:t>
      </w:r>
      <w:r w:rsidR="004E0AE8" w:rsidRPr="00651CFF">
        <w:rPr>
          <w:rFonts w:cs="Cambria"/>
          <w:color w:val="000000"/>
        </w:rPr>
        <w:t xml:space="preserve">ive </w:t>
      </w:r>
      <w:r w:rsidR="001E09A2" w:rsidRPr="00651CFF">
        <w:rPr>
          <w:rFonts w:cs="Cambria"/>
          <w:color w:val="000000"/>
        </w:rPr>
        <w:t xml:space="preserve">written and oral </w:t>
      </w:r>
      <w:r w:rsidRPr="00651CFF">
        <w:rPr>
          <w:rFonts w:cs="Cambria"/>
          <w:color w:val="000000"/>
        </w:rPr>
        <w:t>communication skills</w:t>
      </w:r>
      <w:r w:rsidR="001E09A2" w:rsidRPr="00651CFF">
        <w:rPr>
          <w:rFonts w:cs="Cambria"/>
          <w:color w:val="000000"/>
        </w:rPr>
        <w:t>, including in an online environment</w:t>
      </w:r>
      <w:r w:rsidR="0080274C">
        <w:rPr>
          <w:rFonts w:cs="Cambria"/>
          <w:color w:val="000000"/>
        </w:rPr>
        <w:t>.</w:t>
      </w:r>
    </w:p>
    <w:p w14:paraId="59CDE37A" w14:textId="0820FEEF" w:rsidR="00766BD4" w:rsidRPr="00651CFF" w:rsidRDefault="00766BD4" w:rsidP="00766BD4">
      <w:pPr>
        <w:widowControl w:val="0"/>
        <w:autoSpaceDE w:val="0"/>
        <w:autoSpaceDN w:val="0"/>
        <w:adjustRightInd w:val="0"/>
        <w:spacing w:line="240" w:lineRule="auto"/>
        <w:rPr>
          <w:rFonts w:cs="Cambria"/>
          <w:b/>
          <w:bCs/>
          <w:color w:val="000000"/>
        </w:rPr>
      </w:pPr>
    </w:p>
    <w:p w14:paraId="40506577" w14:textId="47884CF1" w:rsidR="008D4017" w:rsidRDefault="00766BD4" w:rsidP="00E22EBB">
      <w:pPr>
        <w:pStyle w:val="Heading1"/>
      </w:pPr>
      <w:r w:rsidRPr="00651CFF">
        <w:t>ASS</w:t>
      </w:r>
      <w:r w:rsidR="00EC6612">
        <w:t>IGNMENTS/ASS</w:t>
      </w:r>
      <w:r w:rsidRPr="00651CFF">
        <w:t>ESSMENT</w:t>
      </w:r>
    </w:p>
    <w:p w14:paraId="230BD464" w14:textId="3A94FC3F" w:rsidR="008D4017" w:rsidRPr="00347941" w:rsidRDefault="008F21DC" w:rsidP="00F76A66">
      <w:pPr>
        <w:spacing w:before="120" w:after="160"/>
        <w:rPr>
          <w:rFonts w:cs="Arial"/>
          <w:bCs/>
        </w:rPr>
      </w:pPr>
      <w:r w:rsidRPr="00A23377">
        <w:rPr>
          <w:rFonts w:cs="Arial"/>
          <w:bCs/>
        </w:rPr>
        <w:t>The final grade follows the CEU grading scheme (letter</w:t>
      </w:r>
      <w:r w:rsidR="00C57CFE">
        <w:rPr>
          <w:rFonts w:cs="Arial"/>
          <w:bCs/>
        </w:rPr>
        <w:t>/number</w:t>
      </w:r>
      <w:r w:rsidRPr="00A23377">
        <w:rPr>
          <w:rFonts w:cs="Arial"/>
          <w:bCs/>
        </w:rPr>
        <w:t xml:space="preserve"> grade).</w:t>
      </w:r>
      <w:r w:rsidR="00A23377">
        <w:rPr>
          <w:rFonts w:cs="Arial"/>
          <w:bCs/>
        </w:rPr>
        <w:t xml:space="preserve"> </w:t>
      </w:r>
      <w:r w:rsidR="00C10A72">
        <w:rPr>
          <w:rFonts w:cs="Arial"/>
          <w:bCs/>
        </w:rPr>
        <w:t>Grading</w:t>
      </w:r>
      <w:r w:rsidR="004049EE" w:rsidRPr="00A23377">
        <w:rPr>
          <w:rFonts w:cs="Arial"/>
          <w:bCs/>
        </w:rPr>
        <w:t xml:space="preserve"> will be on the curve, </w:t>
      </w:r>
      <w:r w:rsidR="00C10A72">
        <w:rPr>
          <w:rFonts w:cs="Arial"/>
          <w:bCs/>
        </w:rPr>
        <w:t>as per Legal Studies</w:t>
      </w:r>
      <w:r w:rsidR="00347941">
        <w:rPr>
          <w:rFonts w:cs="Arial"/>
          <w:bCs/>
        </w:rPr>
        <w:t xml:space="preserve"> Department policy</w:t>
      </w:r>
      <w:r w:rsidR="00087E2F">
        <w:rPr>
          <w:rFonts w:cs="Arial"/>
          <w:bCs/>
        </w:rPr>
        <w:t>.</w:t>
      </w:r>
      <w:r w:rsidRPr="00A23377">
        <w:rPr>
          <w:rFonts w:cs="Arial"/>
          <w:bCs/>
        </w:rPr>
        <w:t xml:space="preserve"> Students will receive individual feedback on </w:t>
      </w:r>
      <w:r w:rsidR="002650F2">
        <w:rPr>
          <w:rFonts w:cs="Arial"/>
          <w:bCs/>
        </w:rPr>
        <w:t xml:space="preserve">core </w:t>
      </w:r>
      <w:r w:rsidRPr="00A23377">
        <w:rPr>
          <w:rFonts w:cs="Arial"/>
          <w:bCs/>
        </w:rPr>
        <w:t>course assignment</w:t>
      </w:r>
      <w:r w:rsidR="002650F2">
        <w:rPr>
          <w:rFonts w:cs="Arial"/>
          <w:bCs/>
        </w:rPr>
        <w:t>s</w:t>
      </w:r>
      <w:r w:rsidR="00865C6C">
        <w:rPr>
          <w:rFonts w:cs="Arial"/>
          <w:bCs/>
        </w:rPr>
        <w:t xml:space="preserve"> </w:t>
      </w:r>
      <w:r w:rsidR="002650F2">
        <w:rPr>
          <w:rFonts w:cs="Arial"/>
          <w:bCs/>
        </w:rPr>
        <w:t>via</w:t>
      </w:r>
      <w:r w:rsidRPr="00A23377">
        <w:rPr>
          <w:rFonts w:cs="Arial"/>
          <w:bCs/>
        </w:rPr>
        <w:t xml:space="preserve"> Moodle.</w:t>
      </w:r>
    </w:p>
    <w:p w14:paraId="2EEB104C" w14:textId="6404DA03" w:rsidR="00B139C9" w:rsidRDefault="00060D02">
      <w:pPr>
        <w:pStyle w:val="ListParagraph"/>
        <w:numPr>
          <w:ilvl w:val="0"/>
          <w:numId w:val="3"/>
        </w:numPr>
        <w:spacing w:after="180"/>
        <w:rPr>
          <w:rFonts w:cstheme="minorHAnsi"/>
          <w:color w:val="333333"/>
        </w:rPr>
      </w:pPr>
      <w:r>
        <w:rPr>
          <w:rFonts w:cstheme="minorHAnsi"/>
          <w:color w:val="333333"/>
        </w:rPr>
        <w:t>20</w:t>
      </w:r>
      <w:r w:rsidR="00377FAE" w:rsidRPr="00651CFF">
        <w:rPr>
          <w:rFonts w:cstheme="minorHAnsi"/>
          <w:color w:val="333333"/>
        </w:rPr>
        <w:t xml:space="preserve"> </w:t>
      </w:r>
      <w:r w:rsidR="00766BD4" w:rsidRPr="00651CFF">
        <w:rPr>
          <w:rFonts w:cstheme="minorHAnsi"/>
          <w:color w:val="333333"/>
        </w:rPr>
        <w:t xml:space="preserve">% </w:t>
      </w:r>
      <w:r w:rsidR="00766BD4" w:rsidRPr="00651CFF">
        <w:rPr>
          <w:rFonts w:cstheme="minorHAnsi"/>
          <w:i/>
          <w:iCs/>
          <w:color w:val="333333"/>
        </w:rPr>
        <w:t>general class preparation and participation</w:t>
      </w:r>
    </w:p>
    <w:p w14:paraId="6340368F" w14:textId="77777777" w:rsidR="000B5E95" w:rsidRDefault="00225612" w:rsidP="00B139C9">
      <w:pPr>
        <w:spacing w:after="18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should come to class prepared, having </w:t>
      </w:r>
      <w:r w:rsidRPr="00790436">
        <w:rPr>
          <w:rFonts w:cstheme="minorHAnsi"/>
          <w:color w:val="333333"/>
          <w:u w:val="single"/>
        </w:rPr>
        <w:t>done all mandatory readings and any other pre</w:t>
      </w:r>
      <w:r w:rsidR="00016ABE" w:rsidRPr="00790436">
        <w:rPr>
          <w:rFonts w:cstheme="minorHAnsi"/>
          <w:color w:val="333333"/>
          <w:u w:val="single"/>
        </w:rPr>
        <w:t>paratory tasks, and participate actively in class discussions and activities</w:t>
      </w:r>
      <w:r w:rsidR="00016ABE">
        <w:rPr>
          <w:rFonts w:cstheme="minorHAnsi"/>
          <w:color w:val="333333"/>
        </w:rPr>
        <w:t xml:space="preserve">. Assessment will be based </w:t>
      </w:r>
      <w:r w:rsidR="0055780A">
        <w:rPr>
          <w:rFonts w:cstheme="minorHAnsi"/>
          <w:color w:val="333333"/>
        </w:rPr>
        <w:t xml:space="preserve">on: </w:t>
      </w:r>
    </w:p>
    <w:p w14:paraId="2CD303A9" w14:textId="2A0C8E9B" w:rsidR="000B5E95" w:rsidRPr="000B5E95" w:rsidRDefault="00766BD4">
      <w:pPr>
        <w:pStyle w:val="ListParagraph"/>
        <w:numPr>
          <w:ilvl w:val="0"/>
          <w:numId w:val="29"/>
        </w:numPr>
        <w:spacing w:after="180"/>
        <w:rPr>
          <w:rFonts w:cstheme="minorHAnsi"/>
          <w:color w:val="333333"/>
        </w:rPr>
      </w:pPr>
      <w:r w:rsidRPr="000B5E95">
        <w:rPr>
          <w:rFonts w:cstheme="minorHAnsi"/>
          <w:color w:val="333333"/>
        </w:rPr>
        <w:t xml:space="preserve">timely </w:t>
      </w:r>
      <w:r w:rsidR="00E5070C" w:rsidRPr="000B5E95">
        <w:rPr>
          <w:rFonts w:cstheme="minorHAnsi"/>
          <w:color w:val="333333"/>
        </w:rPr>
        <w:t xml:space="preserve">and meaningful </w:t>
      </w:r>
      <w:r w:rsidR="00FF10C2" w:rsidRPr="000B5E95">
        <w:rPr>
          <w:rFonts w:cstheme="minorHAnsi"/>
          <w:color w:val="333333"/>
        </w:rPr>
        <w:t xml:space="preserve">participation in </w:t>
      </w:r>
      <w:r w:rsidRPr="000B5E95">
        <w:rPr>
          <w:rFonts w:cstheme="minorHAnsi"/>
          <w:color w:val="333333"/>
        </w:rPr>
        <w:t>asynchronous tasks</w:t>
      </w:r>
      <w:r w:rsidR="00F82E6A" w:rsidRPr="000B5E95">
        <w:rPr>
          <w:rFonts w:cstheme="minorHAnsi"/>
          <w:color w:val="333333"/>
        </w:rPr>
        <w:t xml:space="preserve"> (eg wiki co</w:t>
      </w:r>
      <w:r w:rsidR="0055780A" w:rsidRPr="000B5E95">
        <w:rPr>
          <w:rFonts w:cstheme="minorHAnsi"/>
          <w:color w:val="333333"/>
        </w:rPr>
        <w:t>n</w:t>
      </w:r>
      <w:r w:rsidR="00F82E6A" w:rsidRPr="000B5E95">
        <w:rPr>
          <w:rFonts w:cstheme="minorHAnsi"/>
          <w:color w:val="333333"/>
        </w:rPr>
        <w:t>tributions)</w:t>
      </w:r>
      <w:r w:rsidR="004858D6" w:rsidRPr="000B5E95">
        <w:rPr>
          <w:rFonts w:cstheme="minorHAnsi"/>
          <w:color w:val="333333"/>
        </w:rPr>
        <w:t>;</w:t>
      </w:r>
      <w:r w:rsidR="00E836D8" w:rsidRPr="000B5E95">
        <w:rPr>
          <w:rFonts w:cstheme="minorHAnsi"/>
          <w:color w:val="333333"/>
        </w:rPr>
        <w:t xml:space="preserve"> </w:t>
      </w:r>
    </w:p>
    <w:p w14:paraId="56B52F70" w14:textId="4FEA654E" w:rsidR="000B5E95" w:rsidRPr="000B5E95" w:rsidRDefault="0078500A">
      <w:pPr>
        <w:pStyle w:val="ListParagraph"/>
        <w:numPr>
          <w:ilvl w:val="0"/>
          <w:numId w:val="29"/>
        </w:numPr>
        <w:spacing w:after="180"/>
        <w:rPr>
          <w:rFonts w:cstheme="minorHAnsi"/>
          <w:color w:val="333333"/>
        </w:rPr>
      </w:pPr>
      <w:r w:rsidRPr="000B5E95">
        <w:rPr>
          <w:rFonts w:cstheme="minorHAnsi"/>
          <w:color w:val="333333"/>
        </w:rPr>
        <w:t>regular</w:t>
      </w:r>
      <w:r w:rsidR="00C90D10">
        <w:rPr>
          <w:rFonts w:cstheme="minorHAnsi"/>
          <w:color w:val="333333"/>
        </w:rPr>
        <w:t xml:space="preserve"> and informed</w:t>
      </w:r>
      <w:r w:rsidR="0055780A" w:rsidRPr="000B5E95">
        <w:rPr>
          <w:rFonts w:cstheme="minorHAnsi"/>
          <w:color w:val="333333"/>
        </w:rPr>
        <w:t xml:space="preserve"> </w:t>
      </w:r>
      <w:r w:rsidRPr="000B5E95">
        <w:rPr>
          <w:rFonts w:cstheme="minorHAnsi"/>
          <w:color w:val="333333"/>
        </w:rPr>
        <w:t>answers and comments</w:t>
      </w:r>
      <w:r w:rsidR="00030D21" w:rsidRPr="000B5E95">
        <w:rPr>
          <w:rFonts w:cstheme="minorHAnsi"/>
          <w:color w:val="333333"/>
        </w:rPr>
        <w:t xml:space="preserve"> (</w:t>
      </w:r>
      <w:r w:rsidRPr="000B5E95">
        <w:rPr>
          <w:rFonts w:cstheme="minorHAnsi"/>
          <w:color w:val="333333"/>
        </w:rPr>
        <w:t xml:space="preserve">eg </w:t>
      </w:r>
      <w:r w:rsidR="00030D21" w:rsidRPr="000B5E95">
        <w:rPr>
          <w:rFonts w:cstheme="minorHAnsi"/>
          <w:color w:val="333333"/>
        </w:rPr>
        <w:t>Perusall, quizzes)</w:t>
      </w:r>
      <w:r w:rsidRPr="000B5E95">
        <w:rPr>
          <w:rFonts w:cstheme="minorHAnsi"/>
          <w:color w:val="333333"/>
        </w:rPr>
        <w:t>;</w:t>
      </w:r>
      <w:r w:rsidR="00766BD4" w:rsidRPr="000B5E95">
        <w:rPr>
          <w:rFonts w:cstheme="minorHAnsi"/>
          <w:color w:val="333333"/>
        </w:rPr>
        <w:t xml:space="preserve"> </w:t>
      </w:r>
    </w:p>
    <w:p w14:paraId="46D6EBD5" w14:textId="77777777" w:rsidR="000B5E95" w:rsidRPr="000B5E95" w:rsidRDefault="00752AAA">
      <w:pPr>
        <w:pStyle w:val="ListParagraph"/>
        <w:numPr>
          <w:ilvl w:val="0"/>
          <w:numId w:val="29"/>
        </w:numPr>
        <w:spacing w:after="180"/>
        <w:rPr>
          <w:rFonts w:cstheme="minorHAnsi"/>
          <w:color w:val="333333"/>
        </w:rPr>
      </w:pPr>
      <w:r w:rsidRPr="000B5E95">
        <w:rPr>
          <w:rFonts w:cstheme="minorHAnsi"/>
          <w:color w:val="333333"/>
        </w:rPr>
        <w:t>active and</w:t>
      </w:r>
      <w:r w:rsidR="003367D9" w:rsidRPr="000B5E95">
        <w:rPr>
          <w:rFonts w:cstheme="minorHAnsi"/>
          <w:color w:val="333333"/>
        </w:rPr>
        <w:t xml:space="preserve"> </w:t>
      </w:r>
      <w:r w:rsidR="004858D6" w:rsidRPr="000B5E95">
        <w:rPr>
          <w:rFonts w:cstheme="minorHAnsi"/>
          <w:color w:val="333333"/>
        </w:rPr>
        <w:t xml:space="preserve">focused </w:t>
      </w:r>
      <w:r w:rsidR="00030D21" w:rsidRPr="000B5E95">
        <w:rPr>
          <w:rFonts w:cstheme="minorHAnsi"/>
          <w:color w:val="333333"/>
        </w:rPr>
        <w:t>contributi</w:t>
      </w:r>
      <w:r w:rsidR="00B26967" w:rsidRPr="000B5E95">
        <w:rPr>
          <w:rFonts w:cstheme="minorHAnsi"/>
          <w:color w:val="333333"/>
        </w:rPr>
        <w:t>o</w:t>
      </w:r>
      <w:r w:rsidR="00030D21" w:rsidRPr="000B5E95">
        <w:rPr>
          <w:rFonts w:cstheme="minorHAnsi"/>
          <w:color w:val="333333"/>
        </w:rPr>
        <w:t>n</w:t>
      </w:r>
      <w:r w:rsidR="00B26967" w:rsidRPr="000B5E95">
        <w:rPr>
          <w:rFonts w:cstheme="minorHAnsi"/>
          <w:color w:val="333333"/>
        </w:rPr>
        <w:t>s</w:t>
      </w:r>
      <w:r w:rsidR="003367D9" w:rsidRPr="000B5E95">
        <w:rPr>
          <w:rFonts w:cstheme="minorHAnsi"/>
          <w:color w:val="333333"/>
        </w:rPr>
        <w:t xml:space="preserve"> to class discussions; </w:t>
      </w:r>
    </w:p>
    <w:p w14:paraId="3DEE545D" w14:textId="77777777" w:rsidR="000B5E95" w:rsidRPr="000B5E95" w:rsidRDefault="00E836D8">
      <w:pPr>
        <w:pStyle w:val="ListParagraph"/>
        <w:numPr>
          <w:ilvl w:val="0"/>
          <w:numId w:val="29"/>
        </w:numPr>
        <w:spacing w:after="180"/>
        <w:rPr>
          <w:rFonts w:cstheme="minorHAnsi"/>
          <w:color w:val="333333"/>
        </w:rPr>
      </w:pPr>
      <w:r w:rsidRPr="000B5E95">
        <w:rPr>
          <w:rFonts w:cstheme="minorHAnsi"/>
          <w:color w:val="333333"/>
        </w:rPr>
        <w:t xml:space="preserve">constructive </w:t>
      </w:r>
      <w:r w:rsidR="00766BD4" w:rsidRPr="000B5E95">
        <w:rPr>
          <w:rFonts w:cstheme="minorHAnsi"/>
          <w:color w:val="333333"/>
        </w:rPr>
        <w:t>comment</w:t>
      </w:r>
      <w:r w:rsidR="00CB1EBB" w:rsidRPr="000B5E95">
        <w:rPr>
          <w:rFonts w:cstheme="minorHAnsi"/>
          <w:color w:val="333333"/>
        </w:rPr>
        <w:t>s</w:t>
      </w:r>
      <w:r w:rsidR="00766BD4" w:rsidRPr="000B5E95">
        <w:rPr>
          <w:rFonts w:cstheme="minorHAnsi"/>
          <w:color w:val="333333"/>
        </w:rPr>
        <w:t xml:space="preserve"> on other’s students’ presentation</w:t>
      </w:r>
      <w:r w:rsidR="00790436" w:rsidRPr="000B5E95">
        <w:rPr>
          <w:rFonts w:cstheme="minorHAnsi"/>
          <w:color w:val="333333"/>
        </w:rPr>
        <w:t xml:space="preserve">; </w:t>
      </w:r>
    </w:p>
    <w:p w14:paraId="2B72A079" w14:textId="77777777" w:rsidR="000B5E95" w:rsidRPr="000B5E95" w:rsidRDefault="00B26967">
      <w:pPr>
        <w:pStyle w:val="ListParagraph"/>
        <w:numPr>
          <w:ilvl w:val="0"/>
          <w:numId w:val="29"/>
        </w:numPr>
        <w:spacing w:after="180"/>
        <w:rPr>
          <w:rFonts w:cstheme="minorHAnsi"/>
          <w:color w:val="333333"/>
        </w:rPr>
      </w:pPr>
      <w:r w:rsidRPr="000B5E95">
        <w:rPr>
          <w:rFonts w:cstheme="minorHAnsi"/>
          <w:color w:val="333333"/>
        </w:rPr>
        <w:t xml:space="preserve">effective participation in </w:t>
      </w:r>
      <w:r w:rsidR="0080274C" w:rsidRPr="000B5E95">
        <w:rPr>
          <w:rFonts w:cstheme="minorHAnsi"/>
          <w:color w:val="333333"/>
        </w:rPr>
        <w:t>practical exercise</w:t>
      </w:r>
      <w:r w:rsidR="00162E68" w:rsidRPr="000B5E95">
        <w:rPr>
          <w:rFonts w:cstheme="minorHAnsi"/>
          <w:color w:val="333333"/>
        </w:rPr>
        <w:t xml:space="preserve"> and simulations</w:t>
      </w:r>
      <w:r w:rsidR="00D772B9" w:rsidRPr="000B5E95">
        <w:rPr>
          <w:rFonts w:cstheme="minorHAnsi"/>
          <w:color w:val="333333"/>
        </w:rPr>
        <w:t xml:space="preserve">; </w:t>
      </w:r>
    </w:p>
    <w:p w14:paraId="71A63C25" w14:textId="116701A9" w:rsidR="00766BD4" w:rsidRDefault="00C90D10">
      <w:pPr>
        <w:pStyle w:val="ListParagraph"/>
        <w:numPr>
          <w:ilvl w:val="0"/>
          <w:numId w:val="29"/>
        </w:numPr>
        <w:spacing w:after="18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relevant </w:t>
      </w:r>
      <w:r w:rsidR="00D772B9" w:rsidRPr="000B5E95">
        <w:rPr>
          <w:rFonts w:cstheme="minorHAnsi"/>
          <w:color w:val="333333"/>
        </w:rPr>
        <w:t>questions during the study visit; etc.</w:t>
      </w:r>
    </w:p>
    <w:p w14:paraId="370A13E7" w14:textId="77777777" w:rsidR="000B5E95" w:rsidRPr="000B5E95" w:rsidRDefault="000B5E95" w:rsidP="000B5E95">
      <w:pPr>
        <w:spacing w:after="180"/>
        <w:rPr>
          <w:rFonts w:cstheme="minorHAnsi"/>
          <w:color w:val="333333"/>
        </w:rPr>
      </w:pPr>
    </w:p>
    <w:p w14:paraId="0D992199" w14:textId="2E23C581" w:rsidR="00B139C9" w:rsidRPr="00B139C9" w:rsidRDefault="00DB5F21">
      <w:pPr>
        <w:pStyle w:val="ListParagraph"/>
        <w:numPr>
          <w:ilvl w:val="0"/>
          <w:numId w:val="3"/>
        </w:numPr>
        <w:spacing w:after="180"/>
        <w:rPr>
          <w:rFonts w:cstheme="minorHAnsi"/>
          <w:color w:val="333333"/>
        </w:rPr>
      </w:pPr>
      <w:r w:rsidRPr="00994D19">
        <w:rPr>
          <w:rFonts w:cstheme="minorHAnsi"/>
          <w:color w:val="333333"/>
        </w:rPr>
        <w:t>15</w:t>
      </w:r>
      <w:r w:rsidR="00766BD4" w:rsidRPr="00994D19">
        <w:rPr>
          <w:rFonts w:cstheme="minorHAnsi"/>
          <w:color w:val="333333"/>
        </w:rPr>
        <w:t xml:space="preserve"> %</w:t>
      </w:r>
      <w:r w:rsidR="00766BD4" w:rsidRPr="00651CFF">
        <w:rPr>
          <w:rFonts w:cstheme="minorHAnsi"/>
          <w:i/>
          <w:iCs/>
          <w:color w:val="333333"/>
        </w:rPr>
        <w:t xml:space="preserve"> case brie</w:t>
      </w:r>
      <w:r w:rsidR="00E41451">
        <w:rPr>
          <w:rFonts w:cstheme="minorHAnsi"/>
          <w:i/>
          <w:iCs/>
          <w:color w:val="333333"/>
        </w:rPr>
        <w:t xml:space="preserve">f </w:t>
      </w:r>
      <w:r w:rsidR="00766BD4" w:rsidRPr="00651CFF">
        <w:rPr>
          <w:rFonts w:cstheme="minorHAnsi"/>
          <w:i/>
          <w:iCs/>
          <w:color w:val="333333"/>
        </w:rPr>
        <w:t>presentation</w:t>
      </w:r>
    </w:p>
    <w:p w14:paraId="4861A0E4" w14:textId="0E94D2E3" w:rsidR="00766BD4" w:rsidRPr="00B139C9" w:rsidRDefault="00E45E11" w:rsidP="00B139C9">
      <w:pPr>
        <w:spacing w:after="180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 xml:space="preserve">Each student must </w:t>
      </w:r>
      <w:r w:rsidRPr="00790436">
        <w:rPr>
          <w:rFonts w:cstheme="minorHAnsi"/>
          <w:color w:val="333333"/>
          <w:u w:val="single"/>
        </w:rPr>
        <w:t xml:space="preserve">brief and present one </w:t>
      </w:r>
      <w:r w:rsidR="00C90D10">
        <w:rPr>
          <w:rFonts w:cstheme="minorHAnsi"/>
          <w:color w:val="333333"/>
          <w:u w:val="single"/>
        </w:rPr>
        <w:t>judicial decision</w:t>
      </w:r>
      <w:r>
        <w:rPr>
          <w:rFonts w:cstheme="minorHAnsi"/>
          <w:color w:val="333333"/>
        </w:rPr>
        <w:t xml:space="preserve"> over the duration of the course, with no more than 2-3 presenters per class. </w:t>
      </w:r>
      <w:r w:rsidR="00B139C9" w:rsidRPr="00003A5A">
        <w:rPr>
          <w:rFonts w:cstheme="minorHAnsi"/>
          <w:color w:val="333333"/>
        </w:rPr>
        <w:t xml:space="preserve">Students </w:t>
      </w:r>
      <w:r w:rsidR="004A69D3">
        <w:rPr>
          <w:rFonts w:cstheme="minorHAnsi"/>
          <w:color w:val="333333"/>
        </w:rPr>
        <w:t>select</w:t>
      </w:r>
      <w:r w:rsidR="00D728CB">
        <w:rPr>
          <w:rFonts w:cstheme="minorHAnsi"/>
          <w:color w:val="333333"/>
        </w:rPr>
        <w:t xml:space="preserve"> </w:t>
      </w:r>
      <w:r w:rsidR="003F547E">
        <w:rPr>
          <w:rFonts w:cstheme="minorHAnsi"/>
          <w:color w:val="333333"/>
        </w:rPr>
        <w:t xml:space="preserve">a case </w:t>
      </w:r>
      <w:r w:rsidR="00D728CB">
        <w:rPr>
          <w:rFonts w:cstheme="minorHAnsi"/>
          <w:color w:val="333333"/>
        </w:rPr>
        <w:t>(from the ‘cases for presentation’ list for the given class)</w:t>
      </w:r>
      <w:r w:rsidR="00075DF2">
        <w:rPr>
          <w:rFonts w:cstheme="minorHAnsi"/>
          <w:color w:val="333333"/>
        </w:rPr>
        <w:t xml:space="preserve">. They must </w:t>
      </w:r>
      <w:r w:rsidR="004A69D3">
        <w:rPr>
          <w:rFonts w:cstheme="minorHAnsi"/>
          <w:color w:val="333333"/>
        </w:rPr>
        <w:t xml:space="preserve">prepare </w:t>
      </w:r>
      <w:r w:rsidR="00D728CB">
        <w:rPr>
          <w:rFonts w:cstheme="minorHAnsi"/>
          <w:color w:val="333333"/>
        </w:rPr>
        <w:t>a</w:t>
      </w:r>
      <w:r w:rsidR="004A69D3">
        <w:rPr>
          <w:rFonts w:cstheme="minorHAnsi"/>
          <w:color w:val="333333"/>
        </w:rPr>
        <w:t xml:space="preserve"> </w:t>
      </w:r>
      <w:r w:rsidR="004A69D3" w:rsidRPr="008B3AC4">
        <w:rPr>
          <w:rFonts w:cstheme="minorHAnsi"/>
          <w:color w:val="333333"/>
          <w:u w:val="single"/>
        </w:rPr>
        <w:t>case</w:t>
      </w:r>
      <w:r w:rsidR="006954D2" w:rsidRPr="008B3AC4">
        <w:rPr>
          <w:rFonts w:cstheme="minorHAnsi"/>
          <w:color w:val="333333"/>
          <w:u w:val="single"/>
        </w:rPr>
        <w:t xml:space="preserve"> </w:t>
      </w:r>
      <w:r w:rsidR="004A69D3" w:rsidRPr="008B3AC4">
        <w:rPr>
          <w:rFonts w:cstheme="minorHAnsi"/>
          <w:color w:val="333333"/>
          <w:u w:val="single"/>
        </w:rPr>
        <w:t>brief</w:t>
      </w:r>
      <w:r w:rsidR="004A69D3" w:rsidRPr="000271BF">
        <w:rPr>
          <w:rFonts w:cstheme="minorHAnsi"/>
          <w:color w:val="333333"/>
        </w:rPr>
        <w:t xml:space="preserve"> </w:t>
      </w:r>
      <w:r w:rsidR="006954D2">
        <w:rPr>
          <w:rFonts w:cstheme="minorHAnsi"/>
          <w:color w:val="333333"/>
        </w:rPr>
        <w:t>on it</w:t>
      </w:r>
      <w:r w:rsidR="001478EA">
        <w:rPr>
          <w:rFonts w:cstheme="minorHAnsi"/>
          <w:color w:val="333333"/>
        </w:rPr>
        <w:t xml:space="preserve"> (</w:t>
      </w:r>
      <w:r w:rsidR="008B3AC4">
        <w:rPr>
          <w:rFonts w:cstheme="minorHAnsi"/>
          <w:color w:val="333333"/>
        </w:rPr>
        <w:t xml:space="preserve">max. 1 page, </w:t>
      </w:r>
      <w:r w:rsidR="001478EA">
        <w:rPr>
          <w:rFonts w:cstheme="minorHAnsi"/>
          <w:color w:val="333333"/>
        </w:rPr>
        <w:t xml:space="preserve">see model – </w:t>
      </w:r>
      <w:r w:rsidR="001478EA" w:rsidRPr="00790436">
        <w:rPr>
          <w:rFonts w:cstheme="minorHAnsi"/>
          <w:i/>
          <w:iCs/>
          <w:color w:val="333333"/>
        </w:rPr>
        <w:t xml:space="preserve">Stauder </w:t>
      </w:r>
      <w:r w:rsidR="001478EA">
        <w:rPr>
          <w:rFonts w:cstheme="minorHAnsi"/>
          <w:color w:val="333333"/>
        </w:rPr>
        <w:t>case)</w:t>
      </w:r>
      <w:r w:rsidR="00075DF2">
        <w:rPr>
          <w:rFonts w:cstheme="minorHAnsi"/>
          <w:color w:val="333333"/>
        </w:rPr>
        <w:t>,</w:t>
      </w:r>
      <w:r w:rsidR="008B3AC4">
        <w:rPr>
          <w:rFonts w:cstheme="minorHAnsi"/>
          <w:color w:val="333333"/>
        </w:rPr>
        <w:t xml:space="preserve"> and</w:t>
      </w:r>
      <w:r w:rsidR="00FB63A4">
        <w:rPr>
          <w:rFonts w:cstheme="minorHAnsi"/>
          <w:color w:val="333333"/>
        </w:rPr>
        <w:t xml:space="preserve"> </w:t>
      </w:r>
      <w:r w:rsidR="008B3AC4">
        <w:rPr>
          <w:rFonts w:cstheme="minorHAnsi"/>
          <w:color w:val="333333"/>
        </w:rPr>
        <w:t xml:space="preserve">add a short </w:t>
      </w:r>
      <w:r w:rsidR="006954D2" w:rsidRPr="008B3AC4">
        <w:rPr>
          <w:rFonts w:cstheme="minorHAnsi"/>
          <w:color w:val="333333"/>
          <w:u w:val="single"/>
        </w:rPr>
        <w:t>‘</w:t>
      </w:r>
      <w:r w:rsidR="00FB63A4" w:rsidRPr="008B3AC4">
        <w:rPr>
          <w:rFonts w:cstheme="minorHAnsi"/>
          <w:color w:val="333333"/>
          <w:u w:val="single"/>
        </w:rPr>
        <w:t>comment section</w:t>
      </w:r>
      <w:r w:rsidR="006954D2" w:rsidRPr="008B3AC4">
        <w:rPr>
          <w:rFonts w:cstheme="minorHAnsi"/>
          <w:color w:val="333333"/>
          <w:u w:val="single"/>
        </w:rPr>
        <w:t>’</w:t>
      </w:r>
      <w:r w:rsidR="00FB63A4">
        <w:rPr>
          <w:rFonts w:cstheme="minorHAnsi"/>
          <w:color w:val="333333"/>
        </w:rPr>
        <w:t xml:space="preserve"> </w:t>
      </w:r>
      <w:r w:rsidR="007912B5">
        <w:rPr>
          <w:rFonts w:cstheme="minorHAnsi"/>
          <w:color w:val="333333"/>
        </w:rPr>
        <w:t>offering a</w:t>
      </w:r>
      <w:r w:rsidR="0041562A" w:rsidRPr="00B139C9">
        <w:rPr>
          <w:rFonts w:cstheme="minorHAnsi"/>
          <w:color w:val="333333"/>
        </w:rPr>
        <w:t xml:space="preserve"> </w:t>
      </w:r>
      <w:r w:rsidR="008B3AC4">
        <w:rPr>
          <w:rFonts w:cstheme="minorHAnsi"/>
          <w:color w:val="333333"/>
        </w:rPr>
        <w:t xml:space="preserve">focused </w:t>
      </w:r>
      <w:r w:rsidR="00FF6094" w:rsidRPr="00B139C9">
        <w:rPr>
          <w:rFonts w:cstheme="minorHAnsi"/>
          <w:color w:val="333333"/>
        </w:rPr>
        <w:t>reflection on the case</w:t>
      </w:r>
      <w:r w:rsidR="00075DF2">
        <w:rPr>
          <w:rFonts w:cstheme="minorHAnsi"/>
          <w:color w:val="333333"/>
        </w:rPr>
        <w:t xml:space="preserve"> </w:t>
      </w:r>
      <w:r w:rsidR="00C91E90">
        <w:rPr>
          <w:rFonts w:cstheme="minorHAnsi"/>
          <w:color w:val="333333"/>
        </w:rPr>
        <w:t>(c. 150</w:t>
      </w:r>
      <w:r w:rsidR="008B3AC4">
        <w:rPr>
          <w:rFonts w:cstheme="minorHAnsi"/>
          <w:color w:val="333333"/>
        </w:rPr>
        <w:t xml:space="preserve"> </w:t>
      </w:r>
      <w:r w:rsidR="00C91E90">
        <w:rPr>
          <w:rFonts w:cstheme="minorHAnsi"/>
          <w:color w:val="333333"/>
        </w:rPr>
        <w:t>words)</w:t>
      </w:r>
      <w:r w:rsidR="004A69D3">
        <w:rPr>
          <w:rFonts w:cstheme="minorHAnsi"/>
          <w:color w:val="333333"/>
        </w:rPr>
        <w:t>,</w:t>
      </w:r>
      <w:r w:rsidR="00FF6094" w:rsidRPr="00B139C9">
        <w:rPr>
          <w:rFonts w:cstheme="minorHAnsi"/>
          <w:color w:val="333333"/>
        </w:rPr>
        <w:t xml:space="preserve"> </w:t>
      </w:r>
      <w:r w:rsidR="00FB63A4">
        <w:rPr>
          <w:rFonts w:cstheme="minorHAnsi"/>
          <w:color w:val="333333"/>
        </w:rPr>
        <w:t>relating it to</w:t>
      </w:r>
      <w:r w:rsidR="00FF6094" w:rsidRPr="00B139C9">
        <w:rPr>
          <w:rFonts w:cstheme="minorHAnsi"/>
          <w:color w:val="333333"/>
        </w:rPr>
        <w:t xml:space="preserve"> the class’s t</w:t>
      </w:r>
      <w:r w:rsidR="00B139C9">
        <w:rPr>
          <w:rFonts w:cstheme="minorHAnsi"/>
          <w:color w:val="333333"/>
        </w:rPr>
        <w:t>opic</w:t>
      </w:r>
      <w:r w:rsidR="004A69D3">
        <w:rPr>
          <w:rFonts w:cstheme="minorHAnsi"/>
          <w:color w:val="333333"/>
        </w:rPr>
        <w:t>, mandatory readings</w:t>
      </w:r>
      <w:r w:rsidR="009E1011">
        <w:rPr>
          <w:rFonts w:cstheme="minorHAnsi"/>
          <w:color w:val="333333"/>
        </w:rPr>
        <w:t>, and core questions</w:t>
      </w:r>
      <w:r w:rsidR="00B33FD9">
        <w:rPr>
          <w:rFonts w:cstheme="minorHAnsi"/>
          <w:color w:val="333333"/>
        </w:rPr>
        <w:t>. The case brief+ comments should be submitted on Moodle</w:t>
      </w:r>
      <w:r w:rsidR="009E1011">
        <w:rPr>
          <w:rFonts w:cstheme="minorHAnsi"/>
          <w:color w:val="333333"/>
        </w:rPr>
        <w:t xml:space="preserve">, and shared with other students at the latest the day before the class, using the Moodle Forum. </w:t>
      </w:r>
      <w:r w:rsidR="00B33FD9">
        <w:rPr>
          <w:rFonts w:cstheme="minorHAnsi"/>
          <w:color w:val="333333"/>
        </w:rPr>
        <w:t xml:space="preserve">Student </w:t>
      </w:r>
      <w:r w:rsidR="009E1011">
        <w:rPr>
          <w:rFonts w:cstheme="minorHAnsi"/>
          <w:color w:val="333333"/>
        </w:rPr>
        <w:t>will</w:t>
      </w:r>
      <w:r w:rsidR="00B33FD9">
        <w:rPr>
          <w:rFonts w:cstheme="minorHAnsi"/>
          <w:color w:val="333333"/>
        </w:rPr>
        <w:t xml:space="preserve"> present the case to the class</w:t>
      </w:r>
      <w:r w:rsidR="00966ACB">
        <w:rPr>
          <w:rFonts w:cstheme="minorHAnsi"/>
          <w:color w:val="333333"/>
        </w:rPr>
        <w:t xml:space="preserve">, outlining its core features </w:t>
      </w:r>
      <w:r w:rsidR="00741DB2">
        <w:rPr>
          <w:rFonts w:cstheme="minorHAnsi"/>
          <w:color w:val="333333"/>
        </w:rPr>
        <w:t>(using the brief as a base line)</w:t>
      </w:r>
      <w:r w:rsidR="009A5F45">
        <w:rPr>
          <w:rFonts w:cstheme="minorHAnsi"/>
          <w:color w:val="333333"/>
        </w:rPr>
        <w:t xml:space="preserve">, </w:t>
      </w:r>
      <w:r w:rsidR="00966ACB">
        <w:rPr>
          <w:rFonts w:cstheme="minorHAnsi"/>
          <w:color w:val="333333"/>
        </w:rPr>
        <w:t xml:space="preserve">and </w:t>
      </w:r>
      <w:r w:rsidR="009A5F45">
        <w:rPr>
          <w:rFonts w:cstheme="minorHAnsi"/>
          <w:color w:val="333333"/>
        </w:rPr>
        <w:t xml:space="preserve">its </w:t>
      </w:r>
      <w:r w:rsidR="00966ACB">
        <w:rPr>
          <w:rFonts w:cstheme="minorHAnsi"/>
          <w:color w:val="333333"/>
        </w:rPr>
        <w:t xml:space="preserve">relevance </w:t>
      </w:r>
      <w:r w:rsidR="009A5F45">
        <w:rPr>
          <w:rFonts w:cstheme="minorHAnsi"/>
          <w:color w:val="333333"/>
        </w:rPr>
        <w:t>in light of the particular class</w:t>
      </w:r>
      <w:r w:rsidR="00966ACB">
        <w:rPr>
          <w:rFonts w:cstheme="minorHAnsi"/>
          <w:color w:val="333333"/>
        </w:rPr>
        <w:t xml:space="preserve"> topic</w:t>
      </w:r>
      <w:r w:rsidR="009E1011">
        <w:rPr>
          <w:rFonts w:cstheme="minorHAnsi"/>
          <w:color w:val="333333"/>
        </w:rPr>
        <w:t xml:space="preserve"> (max. 5 minutes)</w:t>
      </w:r>
      <w:r w:rsidR="00966ACB">
        <w:rPr>
          <w:rFonts w:cstheme="minorHAnsi"/>
          <w:color w:val="333333"/>
        </w:rPr>
        <w:t>.</w:t>
      </w:r>
      <w:r w:rsidR="00062E76" w:rsidRPr="00B139C9">
        <w:rPr>
          <w:rFonts w:cstheme="minorHAnsi"/>
          <w:color w:val="333333"/>
        </w:rPr>
        <w:t xml:space="preserve"> </w:t>
      </w:r>
      <w:r w:rsidR="00003A5A">
        <w:rPr>
          <w:rFonts w:cstheme="minorHAnsi"/>
          <w:color w:val="333333"/>
        </w:rPr>
        <w:t>The assessment will be based on</w:t>
      </w:r>
      <w:r w:rsidR="00062E76" w:rsidRPr="00B139C9">
        <w:rPr>
          <w:rFonts w:cstheme="minorHAnsi"/>
          <w:color w:val="333333"/>
        </w:rPr>
        <w:t xml:space="preserve"> </w:t>
      </w:r>
      <w:r w:rsidR="00E52225">
        <w:rPr>
          <w:rFonts w:cstheme="minorHAnsi"/>
          <w:color w:val="333333"/>
        </w:rPr>
        <w:t xml:space="preserve">the written brief </w:t>
      </w:r>
      <w:r w:rsidR="001C425D" w:rsidRPr="00B139C9">
        <w:rPr>
          <w:rFonts w:cstheme="minorHAnsi"/>
          <w:color w:val="333333"/>
        </w:rPr>
        <w:t>(5%</w:t>
      </w:r>
      <w:r w:rsidR="0041562A" w:rsidRPr="00B139C9">
        <w:rPr>
          <w:rFonts w:cstheme="minorHAnsi"/>
          <w:color w:val="333333"/>
        </w:rPr>
        <w:t xml:space="preserve"> case brief </w:t>
      </w:r>
      <w:r w:rsidR="00FB702F">
        <w:rPr>
          <w:rFonts w:cstheme="minorHAnsi"/>
          <w:color w:val="333333"/>
        </w:rPr>
        <w:t>content</w:t>
      </w:r>
      <w:r w:rsidR="0004249F">
        <w:rPr>
          <w:rFonts w:cstheme="minorHAnsi"/>
          <w:color w:val="333333"/>
        </w:rPr>
        <w:t xml:space="preserve"> accuracy</w:t>
      </w:r>
      <w:r w:rsidR="00430096">
        <w:rPr>
          <w:rFonts w:cstheme="minorHAnsi"/>
          <w:color w:val="333333"/>
        </w:rPr>
        <w:t xml:space="preserve"> </w:t>
      </w:r>
      <w:r w:rsidR="00062E76" w:rsidRPr="00B139C9">
        <w:rPr>
          <w:rFonts w:cstheme="minorHAnsi"/>
          <w:color w:val="333333"/>
        </w:rPr>
        <w:t>+</w:t>
      </w:r>
      <w:r w:rsidR="0004249F">
        <w:rPr>
          <w:rFonts w:cstheme="minorHAnsi"/>
          <w:color w:val="333333"/>
        </w:rPr>
        <w:t xml:space="preserve"> </w:t>
      </w:r>
      <w:r w:rsidR="00062E76" w:rsidRPr="00B139C9">
        <w:rPr>
          <w:rFonts w:cstheme="minorHAnsi"/>
          <w:color w:val="333333"/>
        </w:rPr>
        <w:t>5%</w:t>
      </w:r>
      <w:r w:rsidR="0041562A" w:rsidRPr="00B139C9">
        <w:rPr>
          <w:rFonts w:cstheme="minorHAnsi"/>
          <w:color w:val="333333"/>
        </w:rPr>
        <w:t xml:space="preserve"> </w:t>
      </w:r>
      <w:r w:rsidR="0004249F">
        <w:rPr>
          <w:rFonts w:cstheme="minorHAnsi"/>
          <w:color w:val="333333"/>
        </w:rPr>
        <w:t xml:space="preserve">quality of the </w:t>
      </w:r>
      <w:r w:rsidR="0041562A" w:rsidRPr="00B139C9">
        <w:rPr>
          <w:rFonts w:cstheme="minorHAnsi"/>
          <w:color w:val="333333"/>
        </w:rPr>
        <w:t>reflection</w:t>
      </w:r>
      <w:r w:rsidR="00AD1158">
        <w:rPr>
          <w:rFonts w:cstheme="minorHAnsi"/>
          <w:color w:val="333333"/>
        </w:rPr>
        <w:t xml:space="preserve"> in the ‘comment section’</w:t>
      </w:r>
      <w:r w:rsidR="00430096">
        <w:rPr>
          <w:rFonts w:cstheme="minorHAnsi"/>
          <w:color w:val="333333"/>
        </w:rPr>
        <w:t xml:space="preserve">) and </w:t>
      </w:r>
      <w:r w:rsidR="00AD1158">
        <w:rPr>
          <w:rFonts w:cstheme="minorHAnsi"/>
          <w:color w:val="333333"/>
        </w:rPr>
        <w:t xml:space="preserve">oral </w:t>
      </w:r>
      <w:r w:rsidR="00FB702F">
        <w:rPr>
          <w:rFonts w:cstheme="minorHAnsi"/>
          <w:color w:val="333333"/>
        </w:rPr>
        <w:t>presentation/delivery</w:t>
      </w:r>
      <w:r w:rsidR="007912B5">
        <w:rPr>
          <w:rFonts w:cstheme="minorHAnsi"/>
          <w:color w:val="333333"/>
        </w:rPr>
        <w:t xml:space="preserve"> </w:t>
      </w:r>
      <w:r w:rsidR="00C50A8F" w:rsidRPr="00B139C9">
        <w:rPr>
          <w:rFonts w:cstheme="minorHAnsi"/>
          <w:color w:val="333333"/>
        </w:rPr>
        <w:t>(5%)</w:t>
      </w:r>
      <w:r w:rsidR="00003A5A">
        <w:rPr>
          <w:rFonts w:cstheme="minorHAnsi"/>
          <w:color w:val="333333"/>
        </w:rPr>
        <w:t>. F</w:t>
      </w:r>
      <w:r w:rsidR="00B34BC8" w:rsidRPr="00B139C9">
        <w:rPr>
          <w:rFonts w:cstheme="minorHAnsi"/>
          <w:color w:val="333333"/>
        </w:rPr>
        <w:t>eedback/</w:t>
      </w:r>
      <w:r w:rsidR="0045537E" w:rsidRPr="00B139C9">
        <w:rPr>
          <w:rFonts w:cstheme="minorHAnsi"/>
          <w:color w:val="333333"/>
        </w:rPr>
        <w:t xml:space="preserve">assessment </w:t>
      </w:r>
      <w:r w:rsidR="000271BF">
        <w:rPr>
          <w:rFonts w:cstheme="minorHAnsi"/>
          <w:color w:val="333333"/>
        </w:rPr>
        <w:t xml:space="preserve">will be provided </w:t>
      </w:r>
      <w:r w:rsidR="00B34BC8" w:rsidRPr="00B139C9">
        <w:rPr>
          <w:rFonts w:cstheme="minorHAnsi"/>
          <w:color w:val="333333"/>
        </w:rPr>
        <w:t>via</w:t>
      </w:r>
      <w:r w:rsidR="0045537E" w:rsidRPr="00B139C9">
        <w:rPr>
          <w:rFonts w:cstheme="minorHAnsi"/>
          <w:color w:val="333333"/>
        </w:rPr>
        <w:t xml:space="preserve"> Moodle</w:t>
      </w:r>
      <w:r w:rsidR="00430096">
        <w:rPr>
          <w:rFonts w:cstheme="minorHAnsi"/>
          <w:color w:val="333333"/>
        </w:rPr>
        <w:t xml:space="preserve"> (see case</w:t>
      </w:r>
      <w:r w:rsidR="00D84AB9">
        <w:rPr>
          <w:rFonts w:cstheme="minorHAnsi"/>
          <w:color w:val="333333"/>
        </w:rPr>
        <w:t xml:space="preserve"> brief / presentation assessment form)</w:t>
      </w:r>
    </w:p>
    <w:p w14:paraId="47DA87BC" w14:textId="704D2AD9" w:rsidR="00CD6886" w:rsidRDefault="0013257E">
      <w:pPr>
        <w:pStyle w:val="ListParagraph"/>
        <w:numPr>
          <w:ilvl w:val="0"/>
          <w:numId w:val="3"/>
        </w:numPr>
        <w:spacing w:after="180"/>
        <w:rPr>
          <w:rFonts w:cstheme="minorHAnsi"/>
          <w:i/>
          <w:iCs/>
          <w:color w:val="333333"/>
        </w:rPr>
      </w:pPr>
      <w:r w:rsidRPr="00CD6886">
        <w:rPr>
          <w:rFonts w:cstheme="minorHAnsi"/>
          <w:color w:val="333333"/>
        </w:rPr>
        <w:t>1</w:t>
      </w:r>
      <w:r w:rsidR="00061934">
        <w:rPr>
          <w:rFonts w:cstheme="minorHAnsi"/>
          <w:color w:val="333333"/>
        </w:rPr>
        <w:t>0</w:t>
      </w:r>
      <w:r w:rsidR="00766BD4" w:rsidRPr="00CD6886">
        <w:rPr>
          <w:rFonts w:cstheme="minorHAnsi"/>
          <w:color w:val="333333"/>
        </w:rPr>
        <w:t xml:space="preserve"> %</w:t>
      </w:r>
      <w:r w:rsidR="00766BD4" w:rsidRPr="00CD6886">
        <w:rPr>
          <w:rFonts w:cstheme="minorHAnsi"/>
          <w:i/>
          <w:iCs/>
          <w:color w:val="333333"/>
        </w:rPr>
        <w:t xml:space="preserve"> </w:t>
      </w:r>
      <w:r w:rsidR="007641D6">
        <w:rPr>
          <w:rFonts w:cstheme="minorHAnsi"/>
          <w:i/>
          <w:iCs/>
          <w:color w:val="333333"/>
        </w:rPr>
        <w:t xml:space="preserve">a </w:t>
      </w:r>
      <w:r w:rsidR="00FB0042" w:rsidRPr="00CD6886">
        <w:rPr>
          <w:rFonts w:cstheme="minorHAnsi"/>
          <w:i/>
          <w:iCs/>
          <w:color w:val="333333"/>
        </w:rPr>
        <w:t>‘</w:t>
      </w:r>
      <w:r w:rsidR="00B73332" w:rsidRPr="00CD6886">
        <w:rPr>
          <w:rFonts w:cstheme="minorHAnsi"/>
          <w:i/>
          <w:iCs/>
          <w:color w:val="333333"/>
        </w:rPr>
        <w:t>very short’</w:t>
      </w:r>
      <w:r w:rsidR="009B1C35" w:rsidRPr="00CD6886">
        <w:rPr>
          <w:rFonts w:cstheme="minorHAnsi"/>
          <w:i/>
          <w:iCs/>
          <w:color w:val="333333"/>
        </w:rPr>
        <w:t xml:space="preserve"> conference </w:t>
      </w:r>
      <w:r w:rsidR="00CD6886">
        <w:rPr>
          <w:rFonts w:cstheme="minorHAnsi"/>
          <w:i/>
          <w:iCs/>
          <w:color w:val="333333"/>
        </w:rPr>
        <w:t xml:space="preserve">style </w:t>
      </w:r>
      <w:r w:rsidR="009B1C35" w:rsidRPr="00CD6886">
        <w:rPr>
          <w:rFonts w:cstheme="minorHAnsi"/>
          <w:i/>
          <w:iCs/>
          <w:color w:val="333333"/>
        </w:rPr>
        <w:t>presentation’</w:t>
      </w:r>
      <w:r w:rsidR="00242910" w:rsidRPr="00CD6886">
        <w:rPr>
          <w:rFonts w:cstheme="minorHAnsi"/>
          <w:i/>
          <w:iCs/>
          <w:color w:val="333333"/>
        </w:rPr>
        <w:t xml:space="preserve"> </w:t>
      </w:r>
    </w:p>
    <w:p w14:paraId="6A93E17A" w14:textId="40AFA278" w:rsidR="00377FAE" w:rsidRPr="00CD6886" w:rsidRDefault="00360E04" w:rsidP="00CD6886">
      <w:pPr>
        <w:spacing w:after="180"/>
        <w:rPr>
          <w:rFonts w:cstheme="minorHAnsi"/>
          <w:i/>
          <w:iCs/>
          <w:color w:val="333333"/>
        </w:rPr>
      </w:pPr>
      <w:r w:rsidRPr="00CD6886">
        <w:rPr>
          <w:rFonts w:cstheme="minorHAnsi"/>
          <w:color w:val="333333"/>
        </w:rPr>
        <w:t>During the first week of class</w:t>
      </w:r>
      <w:r w:rsidR="005D6F08" w:rsidRPr="00CD6886">
        <w:rPr>
          <w:rFonts w:cstheme="minorHAnsi"/>
          <w:color w:val="333333"/>
        </w:rPr>
        <w:t xml:space="preserve"> (</w:t>
      </w:r>
      <w:r w:rsidR="005D6F08" w:rsidRPr="00CD6886">
        <w:rPr>
          <w:rFonts w:cstheme="minorHAnsi"/>
          <w:color w:val="333333"/>
          <w:highlight w:val="yellow"/>
        </w:rPr>
        <w:t xml:space="preserve">before </w:t>
      </w:r>
      <w:r w:rsidR="00B02820">
        <w:rPr>
          <w:rFonts w:cstheme="minorHAnsi"/>
          <w:color w:val="333333"/>
        </w:rPr>
        <w:t>-------</w:t>
      </w:r>
      <w:r w:rsidR="005D6F08" w:rsidRPr="00CD6886">
        <w:rPr>
          <w:rFonts w:cstheme="minorHAnsi"/>
          <w:color w:val="333333"/>
        </w:rPr>
        <w:t>)</w:t>
      </w:r>
      <w:r w:rsidRPr="00CD6886">
        <w:rPr>
          <w:rFonts w:cstheme="minorHAnsi"/>
          <w:color w:val="333333"/>
        </w:rPr>
        <w:t xml:space="preserve">, students  must </w:t>
      </w:r>
      <w:r w:rsidRPr="00B70BB3">
        <w:rPr>
          <w:rFonts w:cstheme="minorHAnsi"/>
          <w:color w:val="333333"/>
          <w:u w:val="single"/>
        </w:rPr>
        <w:t xml:space="preserve">select an </w:t>
      </w:r>
      <w:r w:rsidR="00B70BB3">
        <w:rPr>
          <w:rFonts w:cstheme="minorHAnsi"/>
          <w:color w:val="333333"/>
          <w:u w:val="single"/>
        </w:rPr>
        <w:t xml:space="preserve">academic </w:t>
      </w:r>
      <w:r w:rsidRPr="00B70BB3">
        <w:rPr>
          <w:rFonts w:cstheme="minorHAnsi"/>
          <w:color w:val="333333"/>
          <w:u w:val="single"/>
        </w:rPr>
        <w:t>article</w:t>
      </w:r>
      <w:r w:rsidR="007641D6">
        <w:rPr>
          <w:rFonts w:cstheme="minorHAnsi"/>
          <w:color w:val="333333"/>
        </w:rPr>
        <w:t xml:space="preserve"> (from the list provided in </w:t>
      </w:r>
      <w:r w:rsidR="00B70BB3">
        <w:rPr>
          <w:rFonts w:cstheme="minorHAnsi"/>
          <w:color w:val="333333"/>
        </w:rPr>
        <w:t>A</w:t>
      </w:r>
      <w:r w:rsidR="007641D6">
        <w:rPr>
          <w:rFonts w:cstheme="minorHAnsi"/>
          <w:color w:val="333333"/>
        </w:rPr>
        <w:t>nnex</w:t>
      </w:r>
      <w:r w:rsidR="00B70BB3">
        <w:rPr>
          <w:rFonts w:cstheme="minorHAnsi"/>
          <w:color w:val="333333"/>
        </w:rPr>
        <w:t xml:space="preserve"> I, below</w:t>
      </w:r>
      <w:r w:rsidR="007641D6">
        <w:rPr>
          <w:rFonts w:cstheme="minorHAnsi"/>
          <w:color w:val="333333"/>
        </w:rPr>
        <w:t>)</w:t>
      </w:r>
      <w:r w:rsidR="00322E66">
        <w:rPr>
          <w:rFonts w:cstheme="minorHAnsi"/>
          <w:color w:val="333333"/>
        </w:rPr>
        <w:t>. Students must read the article, and prepare</w:t>
      </w:r>
      <w:r w:rsidRPr="00CD6886">
        <w:rPr>
          <w:rFonts w:cstheme="minorHAnsi"/>
          <w:color w:val="333333"/>
        </w:rPr>
        <w:t xml:space="preserve"> </w:t>
      </w:r>
      <w:r w:rsidR="00322E66">
        <w:rPr>
          <w:rFonts w:cstheme="minorHAnsi"/>
          <w:color w:val="333333"/>
        </w:rPr>
        <w:t>a</w:t>
      </w:r>
      <w:r w:rsidR="00E3421D" w:rsidRPr="00CD6886">
        <w:rPr>
          <w:rFonts w:cstheme="minorHAnsi"/>
          <w:color w:val="333333"/>
        </w:rPr>
        <w:t xml:space="preserve"> 2 minute</w:t>
      </w:r>
      <w:r w:rsidR="00322E66">
        <w:rPr>
          <w:rFonts w:cstheme="minorHAnsi"/>
          <w:color w:val="333333"/>
        </w:rPr>
        <w:t>- presentation</w:t>
      </w:r>
      <w:r w:rsidR="00DD1314">
        <w:rPr>
          <w:rFonts w:cstheme="minorHAnsi"/>
          <w:color w:val="333333"/>
        </w:rPr>
        <w:t xml:space="preserve"> (imagining they are presenting it </w:t>
      </w:r>
      <w:r w:rsidR="004F11D8">
        <w:rPr>
          <w:rFonts w:cstheme="minorHAnsi"/>
          <w:color w:val="333333"/>
        </w:rPr>
        <w:t>in a conference panel, addressing an interdisciplinary audience interested and knowledgeable in EU human rights law and policy)</w:t>
      </w:r>
      <w:r w:rsidR="00E3421D" w:rsidRPr="00CD6886">
        <w:rPr>
          <w:rFonts w:cstheme="minorHAnsi"/>
          <w:color w:val="333333"/>
        </w:rPr>
        <w:t xml:space="preserve">. </w:t>
      </w:r>
      <w:r w:rsidR="00CC136D" w:rsidRPr="00CD6886">
        <w:rPr>
          <w:rFonts w:cstheme="minorHAnsi"/>
          <w:color w:val="333333"/>
        </w:rPr>
        <w:t xml:space="preserve">Each student </w:t>
      </w:r>
      <w:r w:rsidR="008818D1">
        <w:rPr>
          <w:rFonts w:cstheme="minorHAnsi"/>
          <w:color w:val="333333"/>
        </w:rPr>
        <w:t>must present the</w:t>
      </w:r>
      <w:r w:rsidR="001E36D7" w:rsidRPr="00CD6886">
        <w:rPr>
          <w:rFonts w:cstheme="minorHAnsi"/>
          <w:color w:val="333333"/>
        </w:rPr>
        <w:t xml:space="preserve"> chosen article/chapter,</w:t>
      </w:r>
      <w:r w:rsidR="00B30ABF" w:rsidRPr="00CD6886">
        <w:rPr>
          <w:rFonts w:cstheme="minorHAnsi"/>
          <w:color w:val="333333"/>
        </w:rPr>
        <w:t xml:space="preserve"> as if they were </w:t>
      </w:r>
      <w:r w:rsidR="00C1116C" w:rsidRPr="00CD6886">
        <w:rPr>
          <w:rFonts w:cstheme="minorHAnsi"/>
          <w:color w:val="333333"/>
        </w:rPr>
        <w:t>the author</w:t>
      </w:r>
      <w:r w:rsidR="00EC151D" w:rsidRPr="00CD6886">
        <w:rPr>
          <w:rFonts w:cstheme="minorHAnsi"/>
          <w:color w:val="333333"/>
        </w:rPr>
        <w:t xml:space="preserve">. </w:t>
      </w:r>
      <w:r w:rsidR="007B7257" w:rsidRPr="00CD6886">
        <w:rPr>
          <w:rFonts w:cstheme="minorHAnsi"/>
          <w:color w:val="333333"/>
        </w:rPr>
        <w:t xml:space="preserve">The </w:t>
      </w:r>
      <w:r w:rsidR="008818D1">
        <w:rPr>
          <w:rFonts w:cstheme="minorHAnsi"/>
          <w:color w:val="333333"/>
        </w:rPr>
        <w:t xml:space="preserve">presentation should be </w:t>
      </w:r>
      <w:r w:rsidR="00EF3412">
        <w:rPr>
          <w:rFonts w:cstheme="minorHAnsi"/>
          <w:color w:val="333333"/>
        </w:rPr>
        <w:t>engaging and focused</w:t>
      </w:r>
      <w:r w:rsidR="00EC151D" w:rsidRPr="00CD6886">
        <w:rPr>
          <w:rFonts w:cstheme="minorHAnsi"/>
          <w:color w:val="333333"/>
        </w:rPr>
        <w:t xml:space="preserve"> </w:t>
      </w:r>
      <w:r w:rsidR="002C0ABE" w:rsidRPr="00CD6886">
        <w:rPr>
          <w:rFonts w:cstheme="minorHAnsi"/>
          <w:color w:val="333333"/>
        </w:rPr>
        <w:t xml:space="preserve">emphasizing key features of their </w:t>
      </w:r>
      <w:r w:rsidR="006D7308" w:rsidRPr="00CD6886">
        <w:rPr>
          <w:rFonts w:cstheme="minorHAnsi"/>
          <w:color w:val="333333"/>
        </w:rPr>
        <w:t xml:space="preserve">analytical </w:t>
      </w:r>
      <w:r w:rsidR="002C0ABE" w:rsidRPr="00CD6886">
        <w:rPr>
          <w:rFonts w:cstheme="minorHAnsi"/>
          <w:color w:val="333333"/>
        </w:rPr>
        <w:t>approach, the</w:t>
      </w:r>
      <w:r w:rsidR="00DE332E" w:rsidRPr="00CD6886">
        <w:rPr>
          <w:rFonts w:cstheme="minorHAnsi"/>
          <w:color w:val="333333"/>
        </w:rPr>
        <w:t>ir</w:t>
      </w:r>
      <w:r w:rsidR="002C0ABE" w:rsidRPr="00CD6886">
        <w:rPr>
          <w:rFonts w:cstheme="minorHAnsi"/>
          <w:color w:val="333333"/>
        </w:rPr>
        <w:t xml:space="preserve"> main findings</w:t>
      </w:r>
      <w:r w:rsidR="006D7308" w:rsidRPr="00CD6886">
        <w:rPr>
          <w:rFonts w:cstheme="minorHAnsi"/>
          <w:color w:val="333333"/>
        </w:rPr>
        <w:t xml:space="preserve"> and </w:t>
      </w:r>
      <w:r w:rsidR="00DE332E" w:rsidRPr="00CD6886">
        <w:rPr>
          <w:rFonts w:cstheme="minorHAnsi"/>
          <w:color w:val="333333"/>
        </w:rPr>
        <w:t>contribution</w:t>
      </w:r>
      <w:r w:rsidR="00EF3412">
        <w:rPr>
          <w:rFonts w:cstheme="minorHAnsi"/>
          <w:color w:val="333333"/>
        </w:rPr>
        <w:t xml:space="preserve"> (related to the role of human rights in EU external relations)</w:t>
      </w:r>
      <w:r w:rsidR="006D7308" w:rsidRPr="00CD6886">
        <w:rPr>
          <w:rFonts w:cstheme="minorHAnsi"/>
          <w:color w:val="333333"/>
        </w:rPr>
        <w:t>,</w:t>
      </w:r>
      <w:r w:rsidR="002C0ABE" w:rsidRPr="00CD6886">
        <w:rPr>
          <w:rFonts w:cstheme="minorHAnsi"/>
          <w:color w:val="333333"/>
        </w:rPr>
        <w:t xml:space="preserve"> and </w:t>
      </w:r>
      <w:r w:rsidR="00DE332E" w:rsidRPr="00CD6886">
        <w:rPr>
          <w:rFonts w:cstheme="minorHAnsi"/>
          <w:color w:val="333333"/>
        </w:rPr>
        <w:t xml:space="preserve">important </w:t>
      </w:r>
      <w:r w:rsidR="002C0ABE" w:rsidRPr="00CD6886">
        <w:rPr>
          <w:rFonts w:cstheme="minorHAnsi"/>
          <w:color w:val="333333"/>
        </w:rPr>
        <w:t>implications</w:t>
      </w:r>
      <w:r w:rsidR="00417C55">
        <w:rPr>
          <w:rFonts w:cstheme="minorHAnsi"/>
          <w:color w:val="333333"/>
        </w:rPr>
        <w:t>.</w:t>
      </w:r>
      <w:r w:rsidR="0099336A" w:rsidRPr="00CD6886">
        <w:rPr>
          <w:rFonts w:cstheme="minorHAnsi"/>
          <w:color w:val="333333"/>
        </w:rPr>
        <w:t xml:space="preserve"> </w:t>
      </w:r>
      <w:r w:rsidR="00C1116C" w:rsidRPr="00CD6886">
        <w:rPr>
          <w:rFonts w:cstheme="minorHAnsi"/>
          <w:color w:val="333333"/>
        </w:rPr>
        <w:t xml:space="preserve">Another student </w:t>
      </w:r>
      <w:r w:rsidR="00155180" w:rsidRPr="00CD6886">
        <w:rPr>
          <w:rFonts w:cstheme="minorHAnsi"/>
          <w:color w:val="333333"/>
        </w:rPr>
        <w:t xml:space="preserve">will be </w:t>
      </w:r>
      <w:r w:rsidR="00CE5FCB" w:rsidRPr="00CD6886">
        <w:rPr>
          <w:rFonts w:cstheme="minorHAnsi"/>
          <w:color w:val="333333"/>
        </w:rPr>
        <w:t xml:space="preserve">assigned as a discussant, </w:t>
      </w:r>
      <w:r w:rsidR="003720CE">
        <w:rPr>
          <w:rFonts w:cstheme="minorHAnsi"/>
          <w:color w:val="333333"/>
        </w:rPr>
        <w:t>who will have 1 minute to comment/ask questions</w:t>
      </w:r>
      <w:r w:rsidR="00B71DF5">
        <w:rPr>
          <w:rFonts w:cstheme="minorHAnsi"/>
          <w:color w:val="333333"/>
        </w:rPr>
        <w:t xml:space="preserve">, and the audience may also ask 1-2 questions. </w:t>
      </w:r>
      <w:r w:rsidR="009215B4" w:rsidRPr="00CD6886">
        <w:rPr>
          <w:rFonts w:cstheme="minorHAnsi"/>
          <w:color w:val="333333"/>
        </w:rPr>
        <w:t>The</w:t>
      </w:r>
      <w:r w:rsidR="00523F0A" w:rsidRPr="00CD6886">
        <w:rPr>
          <w:rFonts w:cstheme="minorHAnsi"/>
          <w:color w:val="333333"/>
        </w:rPr>
        <w:t xml:space="preserve"> ‘presenter’ </w:t>
      </w:r>
      <w:r w:rsidR="009215B4" w:rsidRPr="00CD6886">
        <w:rPr>
          <w:rFonts w:cstheme="minorHAnsi"/>
          <w:color w:val="333333"/>
        </w:rPr>
        <w:t xml:space="preserve">will have the opportunity to react to the discussant’ comments </w:t>
      </w:r>
      <w:r w:rsidR="00523F0A" w:rsidRPr="00CD6886">
        <w:rPr>
          <w:rFonts w:cstheme="minorHAnsi"/>
          <w:color w:val="333333"/>
        </w:rPr>
        <w:t xml:space="preserve">(1 min). </w:t>
      </w:r>
      <w:r w:rsidR="0007683E" w:rsidRPr="00CD6886">
        <w:rPr>
          <w:rFonts w:cstheme="minorHAnsi"/>
          <w:color w:val="333333"/>
        </w:rPr>
        <w:t xml:space="preserve">Feedback and </w:t>
      </w:r>
      <w:r w:rsidR="00BE2C1B" w:rsidRPr="00CD6886">
        <w:rPr>
          <w:rFonts w:cstheme="minorHAnsi"/>
          <w:color w:val="333333"/>
        </w:rPr>
        <w:t>assessment</w:t>
      </w:r>
      <w:r w:rsidR="00034399" w:rsidRPr="00CD6886">
        <w:rPr>
          <w:rFonts w:cstheme="minorHAnsi"/>
          <w:color w:val="333333"/>
        </w:rPr>
        <w:t xml:space="preserve">, covering both content and delivery, including adopting </w:t>
      </w:r>
      <w:r w:rsidR="00694AC2" w:rsidRPr="00CD6886">
        <w:rPr>
          <w:rFonts w:cstheme="minorHAnsi"/>
          <w:color w:val="333333"/>
        </w:rPr>
        <w:t xml:space="preserve">an appropriate </w:t>
      </w:r>
      <w:r w:rsidR="00034399" w:rsidRPr="00CD6886">
        <w:rPr>
          <w:rFonts w:cstheme="minorHAnsi"/>
          <w:color w:val="333333"/>
        </w:rPr>
        <w:t>academic presentation style,</w:t>
      </w:r>
      <w:r w:rsidR="00BE2C1B" w:rsidRPr="00CD6886">
        <w:rPr>
          <w:rFonts w:cstheme="minorHAnsi"/>
          <w:color w:val="333333"/>
        </w:rPr>
        <w:t xml:space="preserve"> </w:t>
      </w:r>
      <w:r w:rsidR="0007683E" w:rsidRPr="00CD6886">
        <w:rPr>
          <w:rFonts w:cstheme="minorHAnsi"/>
          <w:color w:val="333333"/>
        </w:rPr>
        <w:t xml:space="preserve">will be </w:t>
      </w:r>
      <w:r w:rsidR="003875C0" w:rsidRPr="00CD6886">
        <w:rPr>
          <w:rFonts w:cstheme="minorHAnsi"/>
          <w:color w:val="333333"/>
        </w:rPr>
        <w:t xml:space="preserve">given </w:t>
      </w:r>
      <w:r w:rsidR="00C23F66" w:rsidRPr="00CD6886">
        <w:rPr>
          <w:rFonts w:cstheme="minorHAnsi"/>
          <w:color w:val="333333"/>
        </w:rPr>
        <w:t>via</w:t>
      </w:r>
      <w:r w:rsidR="0045537E" w:rsidRPr="00CD6886">
        <w:rPr>
          <w:rFonts w:cstheme="minorHAnsi"/>
          <w:color w:val="333333"/>
        </w:rPr>
        <w:t xml:space="preserve"> Moodle</w:t>
      </w:r>
      <w:r w:rsidR="00061934">
        <w:rPr>
          <w:rFonts w:cstheme="minorHAnsi"/>
          <w:color w:val="333333"/>
        </w:rPr>
        <w:t xml:space="preserve">. </w:t>
      </w:r>
      <w:r w:rsidR="00793DF6" w:rsidRPr="00061934">
        <w:rPr>
          <w:rFonts w:cstheme="minorHAnsi"/>
          <w:color w:val="333333"/>
          <w:highlight w:val="yellow"/>
        </w:rPr>
        <w:t xml:space="preserve">Deadline </w:t>
      </w:r>
      <w:r w:rsidR="00B02820">
        <w:rPr>
          <w:rFonts w:cstheme="minorHAnsi"/>
          <w:color w:val="333333"/>
          <w:highlight w:val="yellow"/>
        </w:rPr>
        <w:t>---- 2024</w:t>
      </w:r>
      <w:r w:rsidR="00F9736E" w:rsidRPr="00F9736E">
        <w:rPr>
          <w:rFonts w:cstheme="minorHAnsi"/>
          <w:color w:val="333333"/>
          <w:highlight w:val="yellow"/>
        </w:rPr>
        <w:t>.</w:t>
      </w:r>
    </w:p>
    <w:p w14:paraId="4B8593A0" w14:textId="77777777" w:rsidR="00793DF6" w:rsidRPr="003875C0" w:rsidRDefault="00793DF6">
      <w:pPr>
        <w:pStyle w:val="ListParagraph"/>
        <w:numPr>
          <w:ilvl w:val="0"/>
          <w:numId w:val="3"/>
        </w:numPr>
        <w:spacing w:after="180"/>
        <w:rPr>
          <w:rFonts w:cstheme="minorHAnsi"/>
          <w:i/>
          <w:iCs/>
          <w:color w:val="333333"/>
        </w:rPr>
      </w:pPr>
      <w:r>
        <w:rPr>
          <w:rFonts w:cstheme="minorHAnsi"/>
          <w:color w:val="333333"/>
        </w:rPr>
        <w:t>10</w:t>
      </w:r>
      <w:r w:rsidRPr="00651CFF">
        <w:rPr>
          <w:rFonts w:cstheme="minorHAnsi"/>
          <w:color w:val="333333"/>
        </w:rPr>
        <w:t xml:space="preserve"> % </w:t>
      </w:r>
      <w:r>
        <w:rPr>
          <w:rFonts w:cstheme="minorHAnsi"/>
          <w:i/>
          <w:iCs/>
          <w:color w:val="333333"/>
        </w:rPr>
        <w:t xml:space="preserve">recording 3-4 mins paper proposal/preliminary findings presentation </w:t>
      </w:r>
      <w:r w:rsidRPr="0045537E">
        <w:rPr>
          <w:rFonts w:cstheme="minorHAnsi"/>
          <w:color w:val="333333"/>
        </w:rPr>
        <w:t>(</w:t>
      </w:r>
      <w:r>
        <w:rPr>
          <w:rFonts w:cstheme="minorHAnsi"/>
          <w:color w:val="333333"/>
        </w:rPr>
        <w:t>feedback/assessment via</w:t>
      </w:r>
      <w:r w:rsidRPr="0045537E">
        <w:rPr>
          <w:rFonts w:cstheme="minorHAnsi"/>
          <w:color w:val="333333"/>
        </w:rPr>
        <w:t xml:space="preserve"> Moodle)</w:t>
      </w:r>
      <w:r>
        <w:rPr>
          <w:rFonts w:cstheme="minorHAnsi"/>
          <w:color w:val="333333"/>
        </w:rPr>
        <w:t xml:space="preserve"> [class 12]</w:t>
      </w:r>
    </w:p>
    <w:p w14:paraId="5E7D4AEC" w14:textId="7B604053" w:rsidR="00793DF6" w:rsidRDefault="00793DF6" w:rsidP="00793DF6">
      <w:pPr>
        <w:spacing w:line="240" w:lineRule="auto"/>
        <w:rPr>
          <w:rFonts w:cs="Calibri"/>
          <w:iCs/>
        </w:rPr>
      </w:pPr>
      <w:r>
        <w:rPr>
          <w:rFonts w:cs="Calibri"/>
          <w:iCs/>
        </w:rPr>
        <w:t xml:space="preserve">This assignment, to be submitted at the end of the </w:t>
      </w:r>
      <w:r w:rsidR="00324FC8">
        <w:rPr>
          <w:rFonts w:cs="Calibri"/>
          <w:iCs/>
        </w:rPr>
        <w:t>course,</w:t>
      </w:r>
      <w:r>
        <w:rPr>
          <w:rFonts w:cs="Calibri"/>
          <w:iCs/>
        </w:rPr>
        <w:t xml:space="preserve"> supports the</w:t>
      </w:r>
      <w:r w:rsidRPr="00117C0E">
        <w:rPr>
          <w:rFonts w:cs="Calibri"/>
          <w:iCs/>
        </w:rPr>
        <w:t xml:space="preserve"> development of </w:t>
      </w:r>
      <w:r>
        <w:rPr>
          <w:rFonts w:cs="Calibri"/>
          <w:iCs/>
        </w:rPr>
        <w:t>the final</w:t>
      </w:r>
      <w:r w:rsidRPr="00117C0E">
        <w:rPr>
          <w:rFonts w:cs="Calibri"/>
          <w:iCs/>
        </w:rPr>
        <w:t xml:space="preserve"> research paper</w:t>
      </w:r>
      <w:r>
        <w:rPr>
          <w:rFonts w:cs="Calibri"/>
          <w:iCs/>
        </w:rPr>
        <w:t xml:space="preserve">. It consists in a </w:t>
      </w:r>
      <w:r w:rsidRPr="002A62E5">
        <w:rPr>
          <w:rFonts w:cs="Calibri"/>
          <w:iCs/>
          <w:u w:val="single"/>
        </w:rPr>
        <w:t xml:space="preserve">short </w:t>
      </w:r>
      <w:r w:rsidR="00A823DC" w:rsidRPr="002A62E5">
        <w:rPr>
          <w:rFonts w:cs="Calibri"/>
          <w:iCs/>
          <w:u w:val="single"/>
        </w:rPr>
        <w:t>(</w:t>
      </w:r>
      <w:r w:rsidR="00AD5193">
        <w:rPr>
          <w:rFonts w:cs="Calibri"/>
          <w:iCs/>
          <w:u w:val="single"/>
        </w:rPr>
        <w:t>4</w:t>
      </w:r>
      <w:r w:rsidR="00A823DC" w:rsidRPr="002A62E5">
        <w:rPr>
          <w:rFonts w:cs="Calibri"/>
          <w:iCs/>
          <w:u w:val="single"/>
        </w:rPr>
        <w:t xml:space="preserve"> minutes) </w:t>
      </w:r>
      <w:r w:rsidR="005249F1">
        <w:rPr>
          <w:rFonts w:cs="Calibri"/>
          <w:iCs/>
          <w:u w:val="single"/>
        </w:rPr>
        <w:t xml:space="preserve">recorded </w:t>
      </w:r>
      <w:r w:rsidRPr="002A62E5">
        <w:rPr>
          <w:rFonts w:cs="Calibri"/>
          <w:iCs/>
          <w:u w:val="single"/>
        </w:rPr>
        <w:t>oral communication</w:t>
      </w:r>
      <w:r>
        <w:rPr>
          <w:rFonts w:cs="Calibri"/>
          <w:iCs/>
        </w:rPr>
        <w:t xml:space="preserve"> </w:t>
      </w:r>
      <w:r w:rsidR="00324FC8">
        <w:rPr>
          <w:rFonts w:cs="Calibri"/>
          <w:iCs/>
        </w:rPr>
        <w:t>(</w:t>
      </w:r>
      <w:r w:rsidR="008C7136">
        <w:rPr>
          <w:rFonts w:cs="Calibri"/>
          <w:iCs/>
        </w:rPr>
        <w:t xml:space="preserve">something like a research ‘vlog’), </w:t>
      </w:r>
      <w:r>
        <w:rPr>
          <w:rFonts w:cs="Calibri"/>
          <w:iCs/>
        </w:rPr>
        <w:t xml:space="preserve">outlining </w:t>
      </w:r>
      <w:r w:rsidR="008C7136">
        <w:rPr>
          <w:rFonts w:cs="Calibri"/>
          <w:iCs/>
        </w:rPr>
        <w:t xml:space="preserve">your </w:t>
      </w:r>
      <w:r>
        <w:rPr>
          <w:rFonts w:cs="Calibri"/>
          <w:iCs/>
        </w:rPr>
        <w:t xml:space="preserve">main research question and </w:t>
      </w:r>
      <w:r w:rsidR="008C7136">
        <w:rPr>
          <w:rFonts w:cs="Calibri"/>
          <w:iCs/>
        </w:rPr>
        <w:t>scope of your</w:t>
      </w:r>
      <w:r w:rsidR="00710D63">
        <w:rPr>
          <w:rFonts w:cs="Calibri"/>
          <w:iCs/>
        </w:rPr>
        <w:t xml:space="preserve"> analysis</w:t>
      </w:r>
      <w:r>
        <w:rPr>
          <w:rFonts w:cs="Calibri"/>
          <w:iCs/>
        </w:rPr>
        <w:t xml:space="preserve">, a summary presentation </w:t>
      </w:r>
      <w:r w:rsidR="00116CD6">
        <w:rPr>
          <w:rFonts w:cs="Calibri"/>
          <w:iCs/>
        </w:rPr>
        <w:t xml:space="preserve">of your analysis </w:t>
      </w:r>
      <w:r>
        <w:rPr>
          <w:rFonts w:cs="Calibri"/>
          <w:iCs/>
        </w:rPr>
        <w:t xml:space="preserve">and preliminary </w:t>
      </w:r>
      <w:r w:rsidR="00722036">
        <w:rPr>
          <w:rFonts w:cs="Calibri"/>
          <w:iCs/>
        </w:rPr>
        <w:t>findings/conclusions</w:t>
      </w:r>
      <w:r w:rsidR="00116CD6">
        <w:rPr>
          <w:rFonts w:cs="Calibri"/>
          <w:iCs/>
        </w:rPr>
        <w:t>,</w:t>
      </w:r>
      <w:r>
        <w:rPr>
          <w:rFonts w:cs="Calibri"/>
          <w:iCs/>
        </w:rPr>
        <w:t xml:space="preserve"> and any further reading and research </w:t>
      </w:r>
      <w:r w:rsidR="00771E4B">
        <w:rPr>
          <w:rFonts w:cs="Calibri"/>
          <w:iCs/>
        </w:rPr>
        <w:t xml:space="preserve">you </w:t>
      </w:r>
      <w:r>
        <w:rPr>
          <w:rFonts w:cs="Calibri"/>
          <w:iCs/>
        </w:rPr>
        <w:t xml:space="preserve">plan to do to </w:t>
      </w:r>
      <w:r w:rsidR="005D1DBB">
        <w:rPr>
          <w:rFonts w:cs="Calibri"/>
          <w:iCs/>
        </w:rPr>
        <w:t xml:space="preserve">in order to </w:t>
      </w:r>
      <w:r>
        <w:rPr>
          <w:rFonts w:cs="Calibri"/>
          <w:iCs/>
        </w:rPr>
        <w:t xml:space="preserve">complete the paper. </w:t>
      </w:r>
      <w:r w:rsidR="004E7A58">
        <w:rPr>
          <w:rFonts w:cs="Calibri"/>
          <w:iCs/>
        </w:rPr>
        <w:t>You may find this</w:t>
      </w:r>
      <w:r w:rsidR="00412387">
        <w:rPr>
          <w:rFonts w:cs="Calibri"/>
          <w:iCs/>
        </w:rPr>
        <w:t xml:space="preserve"> online resource useful in preparing the video recording: </w:t>
      </w:r>
      <w:hyperlink r:id="rId13" w:history="1">
        <w:r w:rsidR="00412387" w:rsidRPr="00EB30AF">
          <w:rPr>
            <w:rStyle w:val="Hyperlink"/>
            <w:rFonts w:cs="Calibri"/>
            <w:iCs/>
          </w:rPr>
          <w:t>https://www.enago.com/academy/top-6-tips-video-abstract-for-research-paper/</w:t>
        </w:r>
      </w:hyperlink>
      <w:r w:rsidR="00AA4B44">
        <w:rPr>
          <w:rFonts w:cs="Calibri"/>
          <w:iCs/>
        </w:rPr>
        <w:t>.</w:t>
      </w:r>
      <w:r w:rsidR="00412387">
        <w:rPr>
          <w:rFonts w:cs="Calibri"/>
          <w:iCs/>
        </w:rPr>
        <w:t xml:space="preserve"> </w:t>
      </w:r>
      <w:r w:rsidR="005D1DBB">
        <w:rPr>
          <w:rFonts w:cs="Calibri"/>
          <w:iCs/>
        </w:rPr>
        <w:t>You are encouraged to</w:t>
      </w:r>
      <w:r>
        <w:rPr>
          <w:rFonts w:cs="Calibri"/>
          <w:iCs/>
        </w:rPr>
        <w:t xml:space="preserve"> record this presentation </w:t>
      </w:r>
      <w:r w:rsidR="005D1DBB">
        <w:rPr>
          <w:rFonts w:cs="Calibri"/>
          <w:iCs/>
        </w:rPr>
        <w:t>using</w:t>
      </w:r>
      <w:r>
        <w:rPr>
          <w:rFonts w:cs="Calibri"/>
          <w:iCs/>
        </w:rPr>
        <w:t xml:space="preserve"> Panopto </w:t>
      </w:r>
      <w:r w:rsidR="005D1DBB">
        <w:rPr>
          <w:rFonts w:cs="Calibri"/>
          <w:iCs/>
        </w:rPr>
        <w:t>(but you can also use another recording app)</w:t>
      </w:r>
      <w:r w:rsidR="007C4571">
        <w:rPr>
          <w:rFonts w:cs="Calibri"/>
          <w:iCs/>
        </w:rPr>
        <w:t xml:space="preserve">. You should </w:t>
      </w:r>
      <w:r>
        <w:rPr>
          <w:rFonts w:cs="Calibri"/>
          <w:iCs/>
        </w:rPr>
        <w:t xml:space="preserve">upload it in the dedicated Panopto </w:t>
      </w:r>
      <w:r w:rsidR="007C4571">
        <w:rPr>
          <w:rFonts w:cs="Calibri"/>
          <w:iCs/>
        </w:rPr>
        <w:t xml:space="preserve">course </w:t>
      </w:r>
      <w:r>
        <w:rPr>
          <w:rFonts w:cs="Calibri"/>
          <w:iCs/>
        </w:rPr>
        <w:t xml:space="preserve">folder. </w:t>
      </w:r>
      <w:r w:rsidR="007C4571">
        <w:rPr>
          <w:rFonts w:cs="Calibri"/>
          <w:iCs/>
        </w:rPr>
        <w:t>You</w:t>
      </w:r>
      <w:r>
        <w:rPr>
          <w:rFonts w:cs="Calibri"/>
          <w:iCs/>
        </w:rPr>
        <w:t xml:space="preserve"> will receive feedback on it from the course instructor, together with further guidance for the final paper</w:t>
      </w:r>
      <w:r w:rsidR="00CF3FED">
        <w:rPr>
          <w:rFonts w:cs="Calibri"/>
          <w:iCs/>
        </w:rPr>
        <w:t xml:space="preserve">. </w:t>
      </w:r>
      <w:r w:rsidRPr="00C57438">
        <w:rPr>
          <w:rFonts w:cs="Calibri"/>
          <w:iCs/>
          <w:highlight w:val="yellow"/>
        </w:rPr>
        <w:t xml:space="preserve">Deadline </w:t>
      </w:r>
      <w:r w:rsidR="00CE33E6">
        <w:rPr>
          <w:rFonts w:cs="Calibri"/>
          <w:iCs/>
        </w:rPr>
        <w:t>---- 2024.</w:t>
      </w:r>
    </w:p>
    <w:p w14:paraId="16175F46" w14:textId="77777777" w:rsidR="00026A0D" w:rsidRDefault="00026A0D" w:rsidP="00793DF6">
      <w:pPr>
        <w:spacing w:line="240" w:lineRule="auto"/>
        <w:rPr>
          <w:rFonts w:cs="Calibri"/>
          <w:iCs/>
        </w:rPr>
      </w:pPr>
    </w:p>
    <w:p w14:paraId="474D1A2C" w14:textId="0EAE8BE2" w:rsidR="00D26CB5" w:rsidRDefault="00BF1783">
      <w:pPr>
        <w:pStyle w:val="ListParagraph"/>
        <w:numPr>
          <w:ilvl w:val="0"/>
          <w:numId w:val="3"/>
        </w:numPr>
        <w:spacing w:after="180"/>
        <w:rPr>
          <w:rFonts w:cstheme="minorHAnsi"/>
          <w:i/>
          <w:iCs/>
          <w:color w:val="333333"/>
        </w:rPr>
      </w:pPr>
      <w:r>
        <w:rPr>
          <w:rFonts w:cstheme="minorHAnsi"/>
          <w:i/>
          <w:iCs/>
          <w:color w:val="333333"/>
        </w:rPr>
        <w:t>Policy brief</w:t>
      </w:r>
      <w:r w:rsidR="00380055">
        <w:rPr>
          <w:rFonts w:cstheme="minorHAnsi"/>
          <w:i/>
          <w:iCs/>
          <w:color w:val="333333"/>
        </w:rPr>
        <w:t xml:space="preserve"> (</w:t>
      </w:r>
      <w:r w:rsidR="004B0E14">
        <w:rPr>
          <w:rFonts w:cstheme="minorHAnsi"/>
          <w:i/>
          <w:iCs/>
          <w:color w:val="333333"/>
        </w:rPr>
        <w:t>15</w:t>
      </w:r>
      <w:r w:rsidR="00380055">
        <w:rPr>
          <w:rFonts w:cstheme="minorHAnsi"/>
          <w:i/>
          <w:iCs/>
          <w:color w:val="333333"/>
        </w:rPr>
        <w:t xml:space="preserve"> %)</w:t>
      </w:r>
    </w:p>
    <w:p w14:paraId="0B6833B6" w14:textId="72C94E14" w:rsidR="00380055" w:rsidRDefault="00DD4442" w:rsidP="00380055">
      <w:pPr>
        <w:spacing w:after="180"/>
      </w:pPr>
      <w:r>
        <w:rPr>
          <w:rFonts w:cstheme="minorHAnsi"/>
          <w:color w:val="333333"/>
        </w:rPr>
        <w:t>After</w:t>
      </w:r>
      <w:r w:rsidR="00380055" w:rsidRPr="00782289">
        <w:rPr>
          <w:rFonts w:cstheme="minorHAnsi"/>
          <w:color w:val="333333"/>
        </w:rPr>
        <w:t xml:space="preserve"> the visit to the </w:t>
      </w:r>
      <w:r w:rsidR="00984CA5" w:rsidRPr="00782289">
        <w:rPr>
          <w:rFonts w:cstheme="minorHAnsi"/>
          <w:color w:val="333333"/>
        </w:rPr>
        <w:t xml:space="preserve">FRA, </w:t>
      </w:r>
      <w:r w:rsidR="009F45FF">
        <w:rPr>
          <w:rFonts w:cstheme="minorHAnsi"/>
          <w:color w:val="333333"/>
        </w:rPr>
        <w:t xml:space="preserve">you should </w:t>
      </w:r>
      <w:r w:rsidR="00984CA5" w:rsidRPr="00782289">
        <w:rPr>
          <w:rFonts w:cstheme="minorHAnsi"/>
          <w:color w:val="333333"/>
        </w:rPr>
        <w:t>prepare a short policy brief</w:t>
      </w:r>
      <w:r w:rsidR="008D1131">
        <w:rPr>
          <w:rFonts w:cstheme="minorHAnsi"/>
          <w:color w:val="333333"/>
        </w:rPr>
        <w:t xml:space="preserve"> (700 words)</w:t>
      </w:r>
      <w:r w:rsidR="00984CA5" w:rsidRPr="00782289">
        <w:rPr>
          <w:rFonts w:cstheme="minorHAnsi"/>
          <w:color w:val="333333"/>
        </w:rPr>
        <w:t xml:space="preserve">, which outlines one of the </w:t>
      </w:r>
      <w:r w:rsidR="007068A8" w:rsidRPr="00782289">
        <w:rPr>
          <w:rFonts w:cstheme="minorHAnsi"/>
          <w:color w:val="333333"/>
        </w:rPr>
        <w:t xml:space="preserve">main </w:t>
      </w:r>
      <w:r w:rsidR="00984CA5" w:rsidRPr="00782289">
        <w:rPr>
          <w:rFonts w:cstheme="minorHAnsi"/>
          <w:color w:val="333333"/>
        </w:rPr>
        <w:t xml:space="preserve">challenges which the FRA faces when </w:t>
      </w:r>
      <w:r w:rsidR="000A57AE" w:rsidRPr="00782289">
        <w:rPr>
          <w:rFonts w:cstheme="minorHAnsi"/>
          <w:color w:val="333333"/>
        </w:rPr>
        <w:t>p</w:t>
      </w:r>
      <w:r w:rsidR="000A57AE" w:rsidRPr="00782289">
        <w:t>romoting and protecting human rights in the EU</w:t>
      </w:r>
      <w:r w:rsidR="009F45FF">
        <w:t xml:space="preserve">, and </w:t>
      </w:r>
      <w:r w:rsidR="00A40978">
        <w:t>makes</w:t>
      </w:r>
      <w:r w:rsidR="009F45FF">
        <w:t xml:space="preserve"> policy recommendations</w:t>
      </w:r>
      <w:r w:rsidR="00E63391">
        <w:t xml:space="preserve">, </w:t>
      </w:r>
      <w:r w:rsidR="00A40978">
        <w:t>based on your</w:t>
      </w:r>
      <w:r w:rsidR="00E63391">
        <w:t xml:space="preserve"> analysis of the problem. </w:t>
      </w:r>
      <w:r w:rsidR="00A8737A">
        <w:t xml:space="preserve">Your </w:t>
      </w:r>
      <w:r w:rsidR="004E7A58">
        <w:t xml:space="preserve">policy </w:t>
      </w:r>
      <w:r w:rsidR="00A8737A">
        <w:t>brief should</w:t>
      </w:r>
      <w:r>
        <w:t xml:space="preserve"> be informed by the course’s </w:t>
      </w:r>
      <w:r w:rsidR="00A8737A">
        <w:t>readings</w:t>
      </w:r>
      <w:r>
        <w:t xml:space="preserve"> and discussion</w:t>
      </w:r>
      <w:r w:rsidR="008D1131">
        <w:t>s</w:t>
      </w:r>
      <w:r>
        <w:t xml:space="preserve">, </w:t>
      </w:r>
      <w:r w:rsidR="002B46D8">
        <w:t>exchanges with FRA staff, and</w:t>
      </w:r>
      <w:r w:rsidR="00E63391">
        <w:t xml:space="preserve"> (limited) further </w:t>
      </w:r>
      <w:r w:rsidR="002B46D8">
        <w:t>research as appropriate</w:t>
      </w:r>
      <w:r w:rsidR="00F23AEA">
        <w:t xml:space="preserve">. </w:t>
      </w:r>
      <w:r w:rsidR="00782289" w:rsidRPr="00782289">
        <w:t xml:space="preserve">You may </w:t>
      </w:r>
      <w:r w:rsidR="002B46D8">
        <w:t>find this</w:t>
      </w:r>
      <w:r w:rsidR="00782289" w:rsidRPr="00782289">
        <w:t xml:space="preserve"> document a good source of how to write a good policy </w:t>
      </w:r>
      <w:r w:rsidR="00782289" w:rsidRPr="00782289">
        <w:lastRenderedPageBreak/>
        <w:t xml:space="preserve">brief: </w:t>
      </w:r>
      <w:hyperlink r:id="rId14" w:history="1">
        <w:r w:rsidR="00782289" w:rsidRPr="00782289">
          <w:rPr>
            <w:rStyle w:val="Hyperlink"/>
          </w:rPr>
          <w:t>https://www.fao.org/3/i2195e/i2195e03.pdf</w:t>
        </w:r>
      </w:hyperlink>
      <w:r w:rsidR="00782289" w:rsidRPr="00782289">
        <w:t xml:space="preserve"> </w:t>
      </w:r>
      <w:r w:rsidR="00771688">
        <w:t xml:space="preserve">. </w:t>
      </w:r>
      <w:r w:rsidR="00D43EB7">
        <w:t>To see an example of how policy brief</w:t>
      </w:r>
      <w:r w:rsidR="00F655D8">
        <w:t>s can be used as policy instruments to</w:t>
      </w:r>
      <w:r w:rsidR="00D43EB7">
        <w:t xml:space="preserve"> </w:t>
      </w:r>
      <w:r w:rsidR="00514B3E">
        <w:t xml:space="preserve">improve human rights, see </w:t>
      </w:r>
      <w:hyperlink r:id="rId15" w:history="1">
        <w:r w:rsidR="00514B3E" w:rsidRPr="00A453AB">
          <w:rPr>
            <w:rStyle w:val="Hyperlink"/>
          </w:rPr>
          <w:t>https://fra.europa.eu/en/promising-practices/thematic-policy-briefs</w:t>
        </w:r>
      </w:hyperlink>
      <w:r w:rsidR="00F655D8">
        <w:t xml:space="preserve">. </w:t>
      </w:r>
    </w:p>
    <w:p w14:paraId="1390D540" w14:textId="35E7FD03" w:rsidR="00C57438" w:rsidRPr="00782289" w:rsidRDefault="00C57438" w:rsidP="00380055">
      <w:pPr>
        <w:spacing w:after="180"/>
        <w:rPr>
          <w:rFonts w:cstheme="minorHAnsi"/>
          <w:color w:val="333333"/>
        </w:rPr>
      </w:pPr>
      <w:r w:rsidRPr="00CE33E6">
        <w:rPr>
          <w:highlight w:val="yellow"/>
        </w:rPr>
        <w:t>Deadline</w:t>
      </w:r>
      <w:r w:rsidR="00B303C6" w:rsidRPr="00CE33E6">
        <w:rPr>
          <w:highlight w:val="yellow"/>
        </w:rPr>
        <w:t xml:space="preserve">: </w:t>
      </w:r>
      <w:r w:rsidR="00CE33E6" w:rsidRPr="00CE33E6">
        <w:rPr>
          <w:highlight w:val="yellow"/>
        </w:rPr>
        <w:t>----- 2024</w:t>
      </w:r>
    </w:p>
    <w:p w14:paraId="41E68A34" w14:textId="77777777" w:rsidR="0048741F" w:rsidRPr="0048741F" w:rsidRDefault="0048741F" w:rsidP="0048741F">
      <w:pPr>
        <w:spacing w:line="240" w:lineRule="auto"/>
        <w:rPr>
          <w:rFonts w:cs="Calibri"/>
          <w:iCs/>
        </w:rPr>
      </w:pPr>
    </w:p>
    <w:p w14:paraId="1F4BBDE1" w14:textId="4A87D681" w:rsidR="0048741F" w:rsidRPr="0048741F" w:rsidRDefault="00D26CB5">
      <w:pPr>
        <w:pStyle w:val="ListParagraph"/>
        <w:numPr>
          <w:ilvl w:val="0"/>
          <w:numId w:val="3"/>
        </w:numPr>
        <w:spacing w:after="180"/>
        <w:rPr>
          <w:rFonts w:cstheme="minorHAnsi"/>
          <w:i/>
          <w:iCs/>
          <w:color w:val="333333"/>
        </w:rPr>
      </w:pPr>
      <w:r>
        <w:rPr>
          <w:rFonts w:cstheme="minorHAnsi"/>
          <w:color w:val="333333"/>
        </w:rPr>
        <w:t>30</w:t>
      </w:r>
      <w:r w:rsidR="00DE6295" w:rsidRPr="00651CFF">
        <w:rPr>
          <w:rFonts w:cstheme="minorHAnsi"/>
          <w:color w:val="333333"/>
        </w:rPr>
        <w:t xml:space="preserve"> </w:t>
      </w:r>
      <w:r w:rsidR="004E1406" w:rsidRPr="00651CFF">
        <w:rPr>
          <w:rFonts w:cstheme="minorHAnsi"/>
          <w:color w:val="333333"/>
        </w:rPr>
        <w:t xml:space="preserve">% </w:t>
      </w:r>
      <w:r w:rsidR="00F020CB" w:rsidRPr="007576D2">
        <w:rPr>
          <w:rFonts w:cstheme="minorHAnsi"/>
          <w:i/>
          <w:iCs/>
          <w:color w:val="333333"/>
        </w:rPr>
        <w:t xml:space="preserve">final </w:t>
      </w:r>
      <w:r w:rsidR="00A1084C" w:rsidRPr="007576D2">
        <w:rPr>
          <w:rFonts w:cstheme="minorHAnsi"/>
          <w:i/>
          <w:iCs/>
          <w:color w:val="333333"/>
        </w:rPr>
        <w:t xml:space="preserve">academic </w:t>
      </w:r>
      <w:r w:rsidR="0055706B" w:rsidRPr="007576D2">
        <w:rPr>
          <w:rFonts w:cstheme="minorHAnsi"/>
          <w:i/>
          <w:iCs/>
          <w:color w:val="333333"/>
        </w:rPr>
        <w:t>paper</w:t>
      </w:r>
      <w:r w:rsidR="0055706B">
        <w:rPr>
          <w:rFonts w:cstheme="minorHAnsi"/>
          <w:color w:val="333333"/>
        </w:rPr>
        <w:t xml:space="preserve"> </w:t>
      </w:r>
      <w:r w:rsidR="00D566A3">
        <w:rPr>
          <w:rFonts w:cstheme="minorHAnsi"/>
          <w:color w:val="333333"/>
        </w:rPr>
        <w:t xml:space="preserve"> </w:t>
      </w:r>
      <w:r w:rsidR="0027500B">
        <w:rPr>
          <w:rFonts w:cstheme="minorHAnsi"/>
          <w:color w:val="333333"/>
        </w:rPr>
        <w:t>‘</w:t>
      </w:r>
      <w:r w:rsidR="00D566A3">
        <w:rPr>
          <w:rFonts w:cstheme="minorHAnsi"/>
          <w:color w:val="333333"/>
        </w:rPr>
        <w:t>Hoes does the EU protection of fundamental rights compare</w:t>
      </w:r>
      <w:r w:rsidR="0048741F">
        <w:rPr>
          <w:rFonts w:cstheme="minorHAnsi"/>
          <w:color w:val="333333"/>
        </w:rPr>
        <w:t>…?</w:t>
      </w:r>
      <w:r w:rsidR="0027500B">
        <w:rPr>
          <w:rFonts w:cstheme="minorHAnsi"/>
          <w:color w:val="333333"/>
        </w:rPr>
        <w:t xml:space="preserve">’ </w:t>
      </w:r>
    </w:p>
    <w:p w14:paraId="07D9417C" w14:textId="1833EFAC" w:rsidR="009172A9" w:rsidRDefault="0048741F" w:rsidP="0048741F">
      <w:pPr>
        <w:spacing w:after="18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must submit a </w:t>
      </w:r>
      <w:r w:rsidR="0002178E">
        <w:rPr>
          <w:rFonts w:cstheme="minorHAnsi"/>
          <w:color w:val="333333"/>
        </w:rPr>
        <w:t xml:space="preserve">final </w:t>
      </w:r>
      <w:r w:rsidR="00116F1A">
        <w:rPr>
          <w:rFonts w:cstheme="minorHAnsi"/>
          <w:color w:val="333333"/>
        </w:rPr>
        <w:t xml:space="preserve">research paper of </w:t>
      </w:r>
      <w:r w:rsidR="0028124C">
        <w:rPr>
          <w:rFonts w:cstheme="minorHAnsi"/>
          <w:color w:val="333333"/>
        </w:rPr>
        <w:t>1</w:t>
      </w:r>
      <w:r>
        <w:rPr>
          <w:rFonts w:cstheme="minorHAnsi"/>
          <w:color w:val="333333"/>
        </w:rPr>
        <w:t>500</w:t>
      </w:r>
      <w:r w:rsidR="00E63678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 xml:space="preserve">words </w:t>
      </w:r>
      <w:r w:rsidR="00116F1A">
        <w:rPr>
          <w:rFonts w:cstheme="minorHAnsi"/>
          <w:color w:val="333333"/>
        </w:rPr>
        <w:t>(</w:t>
      </w:r>
      <w:r w:rsidR="00E66B24">
        <w:rPr>
          <w:rFonts w:cstheme="minorHAnsi"/>
          <w:color w:val="333333"/>
        </w:rPr>
        <w:t>+/</w:t>
      </w:r>
      <w:r w:rsidR="00605420">
        <w:rPr>
          <w:rFonts w:cstheme="minorHAnsi"/>
          <w:color w:val="333333"/>
        </w:rPr>
        <w:t xml:space="preserve">- 10%, </w:t>
      </w:r>
      <w:r w:rsidR="00116F1A">
        <w:rPr>
          <w:rFonts w:cstheme="minorHAnsi"/>
          <w:color w:val="333333"/>
        </w:rPr>
        <w:t>excluding references) which</w:t>
      </w:r>
      <w:r>
        <w:rPr>
          <w:rFonts w:cstheme="minorHAnsi"/>
          <w:color w:val="333333"/>
        </w:rPr>
        <w:t xml:space="preserve"> </w:t>
      </w:r>
      <w:r w:rsidR="004E25B7" w:rsidRPr="00192939">
        <w:rPr>
          <w:rFonts w:cstheme="minorHAnsi"/>
          <w:color w:val="333333"/>
          <w:u w:val="single"/>
        </w:rPr>
        <w:t>a</w:t>
      </w:r>
      <w:r w:rsidR="00605420" w:rsidRPr="00192939">
        <w:rPr>
          <w:rFonts w:cstheme="minorHAnsi"/>
          <w:color w:val="333333"/>
          <w:u w:val="single"/>
        </w:rPr>
        <w:t xml:space="preserve">nalyzes and assesses </w:t>
      </w:r>
      <w:r w:rsidR="004E25B7" w:rsidRPr="00192939">
        <w:rPr>
          <w:rFonts w:cstheme="minorHAnsi"/>
          <w:color w:val="333333"/>
          <w:u w:val="single"/>
        </w:rPr>
        <w:t xml:space="preserve">the way the EU protects a particular right, and </w:t>
      </w:r>
      <w:r w:rsidR="00120A23" w:rsidRPr="00192939">
        <w:rPr>
          <w:rFonts w:cstheme="minorHAnsi"/>
          <w:color w:val="333333"/>
          <w:u w:val="single"/>
        </w:rPr>
        <w:t>draw</w:t>
      </w:r>
      <w:r w:rsidR="009E69E6" w:rsidRPr="00192939">
        <w:rPr>
          <w:rFonts w:cstheme="minorHAnsi"/>
          <w:color w:val="333333"/>
          <w:u w:val="single"/>
        </w:rPr>
        <w:t>s</w:t>
      </w:r>
      <w:r w:rsidR="00120A23" w:rsidRPr="00192939">
        <w:rPr>
          <w:rFonts w:cstheme="minorHAnsi"/>
          <w:color w:val="333333"/>
          <w:u w:val="single"/>
        </w:rPr>
        <w:t xml:space="preserve"> some comparison </w:t>
      </w:r>
      <w:r w:rsidR="00B5269D">
        <w:rPr>
          <w:rFonts w:cstheme="minorHAnsi"/>
          <w:color w:val="333333"/>
          <w:u w:val="single"/>
        </w:rPr>
        <w:t xml:space="preserve">with a </w:t>
      </w:r>
      <w:r w:rsidR="004E25B7" w:rsidRPr="00192939">
        <w:rPr>
          <w:rFonts w:cstheme="minorHAnsi"/>
          <w:color w:val="333333"/>
          <w:u w:val="single"/>
        </w:rPr>
        <w:t>different ‘jurisdiction’</w:t>
      </w:r>
      <w:r w:rsidR="00120A23">
        <w:rPr>
          <w:rFonts w:cstheme="minorHAnsi"/>
          <w:color w:val="333333"/>
        </w:rPr>
        <w:t xml:space="preserve">. </w:t>
      </w:r>
      <w:r w:rsidR="00E63678">
        <w:rPr>
          <w:rFonts w:cs="Calibri"/>
          <w:iCs/>
        </w:rPr>
        <w:t>For instance, this could be something like ‘</w:t>
      </w:r>
      <w:r w:rsidR="001F14D3">
        <w:t>Does the EU protect due process in sanction procedures better than the US’</w:t>
      </w:r>
      <w:r w:rsidR="00E63678">
        <w:rPr>
          <w:rFonts w:cs="Calibri"/>
          <w:iCs/>
        </w:rPr>
        <w:t>, or ‘How does the EU protect citizens’ right not to be subject to automated decision-making</w:t>
      </w:r>
      <w:r w:rsidR="009172A9">
        <w:rPr>
          <w:rFonts w:cs="Calibri"/>
          <w:iCs/>
        </w:rPr>
        <w:t>’</w:t>
      </w:r>
      <w:r w:rsidR="00266291">
        <w:rPr>
          <w:rFonts w:cs="Calibri"/>
          <w:iCs/>
        </w:rPr>
        <w:t xml:space="preserve"> - </w:t>
      </w:r>
      <w:r w:rsidR="00E63678">
        <w:rPr>
          <w:rFonts w:cs="Calibri"/>
          <w:iCs/>
        </w:rPr>
        <w:t>and ho</w:t>
      </w:r>
      <w:r w:rsidR="00E66B24">
        <w:rPr>
          <w:rFonts w:cs="Calibri"/>
          <w:iCs/>
        </w:rPr>
        <w:t>w does it compare to</w:t>
      </w:r>
      <w:r w:rsidR="00306FB3">
        <w:rPr>
          <w:rFonts w:cs="Calibri"/>
          <w:iCs/>
        </w:rPr>
        <w:t xml:space="preserve"> </w:t>
      </w:r>
      <w:r w:rsidR="00E66B24">
        <w:rPr>
          <w:rFonts w:cs="Calibri"/>
          <w:iCs/>
        </w:rPr>
        <w:t>the protection afford</w:t>
      </w:r>
      <w:r w:rsidR="00306FB3">
        <w:rPr>
          <w:rFonts w:cs="Calibri"/>
          <w:iCs/>
        </w:rPr>
        <w:t>ed in</w:t>
      </w:r>
      <w:r w:rsidR="00E66B24">
        <w:rPr>
          <w:rFonts w:cs="Calibri"/>
          <w:iCs/>
        </w:rPr>
        <w:t xml:space="preserve"> </w:t>
      </w:r>
      <w:r w:rsidR="00306FB3">
        <w:rPr>
          <w:rFonts w:cs="Calibri"/>
          <w:iCs/>
        </w:rPr>
        <w:t>…</w:t>
      </w:r>
      <w:r w:rsidR="00E66B24">
        <w:rPr>
          <w:rFonts w:cs="Calibri"/>
          <w:iCs/>
        </w:rPr>
        <w:t xml:space="preserve">[the UN, the US, CoE, Germany etc.). </w:t>
      </w:r>
      <w:r w:rsidR="007E59E0">
        <w:rPr>
          <w:rFonts w:cstheme="minorHAnsi"/>
          <w:color w:val="333333"/>
        </w:rPr>
        <w:t xml:space="preserve">The </w:t>
      </w:r>
      <w:r w:rsidR="007E59E0" w:rsidRPr="009172A9">
        <w:rPr>
          <w:rFonts w:cstheme="minorHAnsi"/>
          <w:color w:val="333333"/>
          <w:u w:val="single"/>
        </w:rPr>
        <w:t xml:space="preserve">main </w:t>
      </w:r>
      <w:r w:rsidR="0082458F" w:rsidRPr="009172A9">
        <w:rPr>
          <w:rFonts w:cstheme="minorHAnsi"/>
          <w:color w:val="333333"/>
          <w:u w:val="single"/>
        </w:rPr>
        <w:t xml:space="preserve">analytical </w:t>
      </w:r>
      <w:r w:rsidR="007E59E0" w:rsidRPr="009172A9">
        <w:rPr>
          <w:rFonts w:cstheme="minorHAnsi"/>
          <w:color w:val="333333"/>
          <w:u w:val="single"/>
        </w:rPr>
        <w:t>focus</w:t>
      </w:r>
      <w:r w:rsidR="007E59E0">
        <w:rPr>
          <w:rFonts w:cstheme="minorHAnsi"/>
          <w:color w:val="333333"/>
        </w:rPr>
        <w:t xml:space="preserve"> should be on </w:t>
      </w:r>
      <w:r w:rsidR="007E59E0" w:rsidRPr="009172A9">
        <w:rPr>
          <w:rFonts w:cstheme="minorHAnsi"/>
          <w:color w:val="333333"/>
          <w:u w:val="single"/>
        </w:rPr>
        <w:t>the EU</w:t>
      </w:r>
      <w:r w:rsidR="00C02250">
        <w:rPr>
          <w:rFonts w:cstheme="minorHAnsi"/>
          <w:color w:val="333333"/>
        </w:rPr>
        <w:t xml:space="preserve"> </w:t>
      </w:r>
      <w:r w:rsidR="0082458F">
        <w:rPr>
          <w:rFonts w:cstheme="minorHAnsi"/>
          <w:color w:val="333333"/>
        </w:rPr>
        <w:t>though. T</w:t>
      </w:r>
      <w:r w:rsidR="007E59E0">
        <w:rPr>
          <w:rFonts w:cstheme="minorHAnsi"/>
          <w:color w:val="333333"/>
        </w:rPr>
        <w:t>he comparative reflections</w:t>
      </w:r>
      <w:r w:rsidR="0082458F">
        <w:rPr>
          <w:rFonts w:cstheme="minorHAnsi"/>
          <w:color w:val="333333"/>
        </w:rPr>
        <w:t xml:space="preserve">/insights </w:t>
      </w:r>
      <w:r w:rsidR="007E59E0">
        <w:rPr>
          <w:rFonts w:cstheme="minorHAnsi"/>
          <w:color w:val="333333"/>
        </w:rPr>
        <w:t>may be integrated throughout</w:t>
      </w:r>
      <w:r w:rsidR="0082458F">
        <w:rPr>
          <w:rFonts w:cstheme="minorHAnsi"/>
          <w:color w:val="333333"/>
        </w:rPr>
        <w:t xml:space="preserve"> the paper</w:t>
      </w:r>
      <w:r w:rsidR="007E59E0">
        <w:rPr>
          <w:rFonts w:cstheme="minorHAnsi"/>
          <w:color w:val="333333"/>
        </w:rPr>
        <w:t xml:space="preserve">, or </w:t>
      </w:r>
      <w:r w:rsidR="00C02250">
        <w:rPr>
          <w:rFonts w:cstheme="minorHAnsi"/>
          <w:color w:val="333333"/>
        </w:rPr>
        <w:t xml:space="preserve">feature </w:t>
      </w:r>
      <w:r w:rsidR="007E59E0">
        <w:rPr>
          <w:rFonts w:cstheme="minorHAnsi"/>
          <w:color w:val="333333"/>
        </w:rPr>
        <w:t xml:space="preserve">in a </w:t>
      </w:r>
      <w:r w:rsidR="00C02250">
        <w:rPr>
          <w:rFonts w:cstheme="minorHAnsi"/>
          <w:color w:val="333333"/>
        </w:rPr>
        <w:t>separate shorter section</w:t>
      </w:r>
      <w:r w:rsidR="007E59E0">
        <w:rPr>
          <w:rFonts w:cstheme="minorHAnsi"/>
          <w:color w:val="333333"/>
        </w:rPr>
        <w:t xml:space="preserve"> and/or conclusions. </w:t>
      </w:r>
      <w:r w:rsidR="00CD6C77">
        <w:rPr>
          <w:rFonts w:cstheme="minorHAnsi"/>
          <w:color w:val="333333"/>
        </w:rPr>
        <w:t>The paper must reflect both the insight</w:t>
      </w:r>
      <w:r w:rsidR="0082458F">
        <w:rPr>
          <w:rFonts w:cstheme="minorHAnsi"/>
          <w:color w:val="333333"/>
        </w:rPr>
        <w:t>s</w:t>
      </w:r>
      <w:r w:rsidR="00CD6C77">
        <w:rPr>
          <w:rFonts w:cstheme="minorHAnsi"/>
          <w:color w:val="333333"/>
        </w:rPr>
        <w:t xml:space="preserve"> gained f</w:t>
      </w:r>
      <w:r w:rsidR="000D029E">
        <w:rPr>
          <w:rFonts w:cstheme="minorHAnsi"/>
          <w:color w:val="333333"/>
        </w:rPr>
        <w:t>ro</w:t>
      </w:r>
      <w:r w:rsidR="00CD6C77">
        <w:rPr>
          <w:rFonts w:cstheme="minorHAnsi"/>
          <w:color w:val="333333"/>
        </w:rPr>
        <w:t xml:space="preserve">m the course on </w:t>
      </w:r>
      <w:r w:rsidR="000D029E">
        <w:rPr>
          <w:rFonts w:cstheme="minorHAnsi"/>
          <w:color w:val="333333"/>
        </w:rPr>
        <w:t>the norms</w:t>
      </w:r>
      <w:r w:rsidR="00821AA2">
        <w:rPr>
          <w:rFonts w:cstheme="minorHAnsi"/>
          <w:color w:val="333333"/>
        </w:rPr>
        <w:t>, instruments</w:t>
      </w:r>
      <w:r w:rsidR="000D029E">
        <w:rPr>
          <w:rFonts w:cstheme="minorHAnsi"/>
          <w:color w:val="333333"/>
        </w:rPr>
        <w:t xml:space="preserve"> and processes through</w:t>
      </w:r>
      <w:r w:rsidR="0082458F">
        <w:rPr>
          <w:rFonts w:cstheme="minorHAnsi"/>
          <w:color w:val="333333"/>
        </w:rPr>
        <w:t xml:space="preserve"> </w:t>
      </w:r>
      <w:r w:rsidR="000D029E">
        <w:rPr>
          <w:rFonts w:cstheme="minorHAnsi"/>
          <w:color w:val="333333"/>
        </w:rPr>
        <w:t xml:space="preserve">which the </w:t>
      </w:r>
      <w:r w:rsidR="00CD6C77">
        <w:rPr>
          <w:rFonts w:cstheme="minorHAnsi"/>
          <w:color w:val="333333"/>
        </w:rPr>
        <w:t>EU</w:t>
      </w:r>
      <w:r w:rsidR="007D4F39">
        <w:rPr>
          <w:rFonts w:cstheme="minorHAnsi"/>
          <w:color w:val="333333"/>
        </w:rPr>
        <w:t xml:space="preserve"> protects fundamental/human rights, as well as further independent research on how this </w:t>
      </w:r>
      <w:r w:rsidR="001E28FF">
        <w:rPr>
          <w:rFonts w:cstheme="minorHAnsi"/>
          <w:color w:val="333333"/>
        </w:rPr>
        <w:t>translate</w:t>
      </w:r>
      <w:r w:rsidR="009172A9">
        <w:rPr>
          <w:rFonts w:cstheme="minorHAnsi"/>
          <w:color w:val="333333"/>
        </w:rPr>
        <w:t>s</w:t>
      </w:r>
      <w:r w:rsidR="001E28FF">
        <w:rPr>
          <w:rFonts w:cstheme="minorHAnsi"/>
          <w:color w:val="333333"/>
        </w:rPr>
        <w:t xml:space="preserve"> into the protection of a particular right in the EU. </w:t>
      </w:r>
      <w:r w:rsidR="00E46E96">
        <w:rPr>
          <w:rFonts w:cstheme="minorHAnsi"/>
          <w:color w:val="333333"/>
        </w:rPr>
        <w:t xml:space="preserve">The paper should </w:t>
      </w:r>
      <w:r w:rsidR="0043587F">
        <w:rPr>
          <w:rFonts w:cstheme="minorHAnsi"/>
          <w:color w:val="333333"/>
        </w:rPr>
        <w:t xml:space="preserve">focus on ‘substantive’ aspects, but </w:t>
      </w:r>
      <w:r w:rsidR="00477154">
        <w:rPr>
          <w:rFonts w:cstheme="minorHAnsi"/>
          <w:color w:val="333333"/>
        </w:rPr>
        <w:t xml:space="preserve">also </w:t>
      </w:r>
      <w:r w:rsidR="0097296A">
        <w:rPr>
          <w:rFonts w:cstheme="minorHAnsi"/>
          <w:color w:val="333333"/>
        </w:rPr>
        <w:t xml:space="preserve">integrate </w:t>
      </w:r>
      <w:r w:rsidR="00E46E96">
        <w:rPr>
          <w:rFonts w:cstheme="minorHAnsi"/>
          <w:color w:val="333333"/>
        </w:rPr>
        <w:t>institutional</w:t>
      </w:r>
      <w:r w:rsidR="002F5C35">
        <w:rPr>
          <w:rFonts w:cstheme="minorHAnsi"/>
          <w:color w:val="333333"/>
        </w:rPr>
        <w:t xml:space="preserve"> and </w:t>
      </w:r>
      <w:r w:rsidR="00E46E96">
        <w:rPr>
          <w:rFonts w:cstheme="minorHAnsi"/>
          <w:color w:val="333333"/>
        </w:rPr>
        <w:t>procedural aspects</w:t>
      </w:r>
      <w:r w:rsidR="00477154">
        <w:rPr>
          <w:rFonts w:cstheme="minorHAnsi"/>
          <w:color w:val="333333"/>
        </w:rPr>
        <w:t>, to the extent they are relevant to assess the protection the EU affords to a given right (</w:t>
      </w:r>
      <w:r w:rsidR="00617BFA">
        <w:rPr>
          <w:rFonts w:cstheme="minorHAnsi"/>
          <w:color w:val="333333"/>
        </w:rPr>
        <w:t xml:space="preserve">eg strict standing requirement, or narrow concept of reviewable acts, may make it difficult to hold </w:t>
      </w:r>
      <w:r w:rsidR="000A3808">
        <w:rPr>
          <w:rFonts w:cstheme="minorHAnsi"/>
          <w:color w:val="333333"/>
        </w:rPr>
        <w:t xml:space="preserve">certain </w:t>
      </w:r>
      <w:r w:rsidR="00617BFA">
        <w:rPr>
          <w:rFonts w:cstheme="minorHAnsi"/>
          <w:color w:val="333333"/>
        </w:rPr>
        <w:t xml:space="preserve">EU organs accountable </w:t>
      </w:r>
      <w:r w:rsidR="009A7EF0">
        <w:rPr>
          <w:rFonts w:cstheme="minorHAnsi"/>
          <w:color w:val="333333"/>
        </w:rPr>
        <w:t>for their non-respect of a particular Charter provision).</w:t>
      </w:r>
      <w:r w:rsidR="00617BFA">
        <w:rPr>
          <w:rFonts w:cstheme="minorHAnsi"/>
          <w:color w:val="333333"/>
        </w:rPr>
        <w:t xml:space="preserve"> </w:t>
      </w:r>
      <w:r w:rsidR="00E46E96">
        <w:rPr>
          <w:rFonts w:cstheme="minorHAnsi"/>
          <w:color w:val="333333"/>
        </w:rPr>
        <w:t xml:space="preserve"> </w:t>
      </w:r>
      <w:r w:rsidR="0014574E">
        <w:rPr>
          <w:rFonts w:cstheme="minorHAnsi"/>
          <w:color w:val="333333"/>
        </w:rPr>
        <w:t xml:space="preserve">The </w:t>
      </w:r>
      <w:r w:rsidR="0027500B" w:rsidRPr="0048741F">
        <w:rPr>
          <w:rFonts w:cstheme="minorHAnsi"/>
          <w:color w:val="333333"/>
        </w:rPr>
        <w:t xml:space="preserve">assessment criteria </w:t>
      </w:r>
      <w:r w:rsidR="009172A9">
        <w:rPr>
          <w:rFonts w:cstheme="minorHAnsi"/>
          <w:color w:val="333333"/>
        </w:rPr>
        <w:t>are</w:t>
      </w:r>
      <w:r w:rsidR="0014574E">
        <w:rPr>
          <w:rFonts w:cstheme="minorHAnsi"/>
          <w:color w:val="333333"/>
        </w:rPr>
        <w:t xml:space="preserve"> available on Moodle</w:t>
      </w:r>
      <w:r w:rsidR="000A3808">
        <w:rPr>
          <w:rFonts w:cstheme="minorHAnsi"/>
          <w:color w:val="333333"/>
        </w:rPr>
        <w:t>, and f</w:t>
      </w:r>
      <w:r w:rsidR="0014574E">
        <w:rPr>
          <w:rFonts w:cstheme="minorHAnsi"/>
          <w:color w:val="333333"/>
        </w:rPr>
        <w:t xml:space="preserve">eedback </w:t>
      </w:r>
      <w:r w:rsidR="009172A9">
        <w:rPr>
          <w:rFonts w:cstheme="minorHAnsi"/>
          <w:color w:val="333333"/>
        </w:rPr>
        <w:t>is</w:t>
      </w:r>
      <w:r w:rsidR="00C02250">
        <w:rPr>
          <w:rFonts w:cstheme="minorHAnsi"/>
          <w:color w:val="333333"/>
        </w:rPr>
        <w:t xml:space="preserve"> </w:t>
      </w:r>
      <w:r w:rsidR="0014574E">
        <w:rPr>
          <w:rFonts w:cstheme="minorHAnsi"/>
          <w:color w:val="333333"/>
        </w:rPr>
        <w:t>given via Moodle.</w:t>
      </w:r>
      <w:r w:rsidR="00DE4BAA" w:rsidRPr="0048741F">
        <w:rPr>
          <w:rFonts w:cstheme="minorHAnsi"/>
          <w:color w:val="333333"/>
        </w:rPr>
        <w:t xml:space="preserve"> </w:t>
      </w:r>
    </w:p>
    <w:p w14:paraId="03BC189B" w14:textId="6C14AA12" w:rsidR="00725131" w:rsidRPr="0048741F" w:rsidRDefault="00077739" w:rsidP="0048741F">
      <w:pPr>
        <w:spacing w:after="180"/>
        <w:rPr>
          <w:rFonts w:cstheme="minorHAnsi"/>
          <w:i/>
          <w:iCs/>
          <w:color w:val="333333"/>
        </w:rPr>
      </w:pPr>
      <w:r>
        <w:rPr>
          <w:rFonts w:cstheme="minorHAnsi"/>
          <w:color w:val="333333"/>
        </w:rPr>
        <w:t xml:space="preserve">Deadline for submission </w:t>
      </w:r>
      <w:r w:rsidR="00CE33E6" w:rsidRPr="00CE33E6">
        <w:rPr>
          <w:rFonts w:cstheme="minorHAnsi"/>
          <w:color w:val="333333"/>
          <w:highlight w:val="yellow"/>
        </w:rPr>
        <w:t>------- 2024</w:t>
      </w:r>
    </w:p>
    <w:p w14:paraId="74E0DDB4" w14:textId="42461CC6" w:rsidR="00766BD4" w:rsidRPr="00433C78" w:rsidRDefault="0002332E" w:rsidP="00766BD4">
      <w:pPr>
        <w:widowControl w:val="0"/>
        <w:autoSpaceDE w:val="0"/>
        <w:autoSpaceDN w:val="0"/>
        <w:adjustRightInd w:val="0"/>
        <w:spacing w:line="240" w:lineRule="auto"/>
        <w:rPr>
          <w:rFonts w:cs="Cambria"/>
          <w:color w:val="000000"/>
          <w:u w:val="single"/>
        </w:rPr>
      </w:pPr>
      <w:r w:rsidRPr="00433C78">
        <w:rPr>
          <w:rFonts w:cs="Cambria"/>
          <w:color w:val="000000"/>
          <w:u w:val="single"/>
        </w:rPr>
        <w:t xml:space="preserve">Note: </w:t>
      </w:r>
      <w:r w:rsidR="009172A9" w:rsidRPr="00433C78">
        <w:rPr>
          <w:rFonts w:cs="Cambria"/>
          <w:color w:val="000000"/>
          <w:u w:val="single"/>
        </w:rPr>
        <w:t>All assignments are designed</w:t>
      </w:r>
      <w:r w:rsidR="004E18C1" w:rsidRPr="00433C78">
        <w:rPr>
          <w:rFonts w:cs="Cambria"/>
          <w:color w:val="000000"/>
          <w:u w:val="single"/>
        </w:rPr>
        <w:t xml:space="preserve"> to build on class discussions and activities, which cannot be processed by AI (such as ChatGPT). Using such technology will </w:t>
      </w:r>
      <w:r w:rsidRPr="00433C78">
        <w:rPr>
          <w:rFonts w:cs="Cambria"/>
          <w:color w:val="000000"/>
          <w:u w:val="single"/>
        </w:rPr>
        <w:t xml:space="preserve">therefore not get you good grades, and where detected, could result in failing the course </w:t>
      </w:r>
      <w:r w:rsidR="00433C78" w:rsidRPr="00433C78">
        <w:rPr>
          <w:rFonts w:cs="Cambria"/>
          <w:color w:val="000000"/>
          <w:u w:val="single"/>
        </w:rPr>
        <w:t>for</w:t>
      </w:r>
      <w:r w:rsidRPr="00433C78">
        <w:rPr>
          <w:rFonts w:cs="Cambria"/>
          <w:color w:val="000000"/>
          <w:u w:val="single"/>
        </w:rPr>
        <w:t xml:space="preserve"> breach of</w:t>
      </w:r>
      <w:r w:rsidR="00433C78" w:rsidRPr="00433C78">
        <w:rPr>
          <w:rFonts w:cs="Cambria"/>
          <w:color w:val="000000"/>
          <w:u w:val="single"/>
        </w:rPr>
        <w:t xml:space="preserve"> </w:t>
      </w:r>
      <w:r w:rsidR="00433C78">
        <w:rPr>
          <w:rFonts w:cs="Cambria"/>
          <w:color w:val="000000"/>
          <w:u w:val="single"/>
        </w:rPr>
        <w:t>the CEU Code of Ethics and Po</w:t>
      </w:r>
      <w:r w:rsidR="009567BD">
        <w:rPr>
          <w:rFonts w:cs="Cambria"/>
          <w:color w:val="000000"/>
          <w:u w:val="single"/>
        </w:rPr>
        <w:t>licy on Plagiarism.</w:t>
      </w:r>
    </w:p>
    <w:p w14:paraId="3D8AC43C" w14:textId="07AC0FF5" w:rsidR="007C2406" w:rsidRPr="00651CFF" w:rsidRDefault="007C2406" w:rsidP="00E22EBB">
      <w:pPr>
        <w:pStyle w:val="Heading1"/>
      </w:pPr>
      <w:r w:rsidRPr="00651CFF">
        <w:t>LEARNING ACTIVITIES AND TEACHING METHODS</w:t>
      </w:r>
    </w:p>
    <w:p w14:paraId="41C8F396" w14:textId="13D3E57D" w:rsidR="00DC5D16" w:rsidRPr="00651CFF" w:rsidRDefault="00A75AFB" w:rsidP="00DA04D2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333333"/>
        </w:rPr>
      </w:pPr>
      <w:r w:rsidRPr="00651CFF">
        <w:rPr>
          <w:rFonts w:cstheme="minorHAnsi"/>
          <w:color w:val="333333"/>
        </w:rPr>
        <w:t xml:space="preserve">The seminar consists in </w:t>
      </w:r>
      <w:r w:rsidR="00FC07F9">
        <w:rPr>
          <w:rFonts w:cstheme="minorHAnsi"/>
          <w:color w:val="333333"/>
        </w:rPr>
        <w:t>interactive lecture</w:t>
      </w:r>
      <w:r w:rsidR="007B474A">
        <w:rPr>
          <w:rFonts w:cstheme="minorHAnsi"/>
          <w:color w:val="333333"/>
        </w:rPr>
        <w:t>s</w:t>
      </w:r>
      <w:r w:rsidR="00FC07F9">
        <w:rPr>
          <w:rFonts w:cstheme="minorHAnsi"/>
          <w:color w:val="333333"/>
        </w:rPr>
        <w:t xml:space="preserve">, </w:t>
      </w:r>
      <w:r w:rsidR="00FA0492" w:rsidRPr="00651CFF">
        <w:rPr>
          <w:rFonts w:cstheme="minorHAnsi"/>
          <w:color w:val="333333"/>
        </w:rPr>
        <w:t>class discussions and interactive activities</w:t>
      </w:r>
      <w:r w:rsidR="00DA04D2" w:rsidRPr="00651CFF">
        <w:rPr>
          <w:rFonts w:cstheme="minorHAnsi"/>
          <w:color w:val="333333"/>
        </w:rPr>
        <w:t xml:space="preserve"> (eg roundtables, practical cases, </w:t>
      </w:r>
      <w:r w:rsidR="004C31E4" w:rsidRPr="00651CFF">
        <w:rPr>
          <w:rFonts w:cstheme="minorHAnsi"/>
          <w:color w:val="333333"/>
        </w:rPr>
        <w:t>simulation exercises</w:t>
      </w:r>
      <w:r w:rsidR="00DA04D2" w:rsidRPr="00651CFF">
        <w:rPr>
          <w:rFonts w:cstheme="minorHAnsi"/>
          <w:color w:val="333333"/>
        </w:rPr>
        <w:t>)</w:t>
      </w:r>
      <w:r w:rsidR="00551B28">
        <w:rPr>
          <w:rFonts w:cstheme="minorHAnsi"/>
          <w:color w:val="333333"/>
        </w:rPr>
        <w:t xml:space="preserve"> building on mandatory readings, preparatory tasks, and</w:t>
      </w:r>
      <w:r w:rsidR="00D741E2">
        <w:rPr>
          <w:rFonts w:cstheme="minorHAnsi"/>
          <w:color w:val="333333"/>
        </w:rPr>
        <w:t xml:space="preserve"> introductory lectures.</w:t>
      </w:r>
    </w:p>
    <w:p w14:paraId="57B15DC6" w14:textId="77777777" w:rsidR="001122A6" w:rsidRPr="00651CFF" w:rsidRDefault="001122A6" w:rsidP="00DA04D2">
      <w:pPr>
        <w:widowControl w:val="0"/>
        <w:autoSpaceDE w:val="0"/>
        <w:autoSpaceDN w:val="0"/>
        <w:adjustRightInd w:val="0"/>
        <w:spacing w:line="240" w:lineRule="auto"/>
        <w:rPr>
          <w:rFonts w:cs="Cambria"/>
          <w:b/>
          <w:bCs/>
          <w:color w:val="000000"/>
        </w:rPr>
      </w:pPr>
    </w:p>
    <w:p w14:paraId="459B5BFF" w14:textId="7A4F8EC7" w:rsidR="008667F2" w:rsidRPr="00651CFF" w:rsidRDefault="00C17A08" w:rsidP="00E22EBB">
      <w:pPr>
        <w:pStyle w:val="Heading1"/>
      </w:pPr>
      <w:r w:rsidRPr="00651CFF">
        <w:t>CO</w:t>
      </w:r>
      <w:r w:rsidR="00DC5D16" w:rsidRPr="00651CFF">
        <w:t>URSE MATERIALS</w:t>
      </w:r>
      <w:r w:rsidRPr="00651CFF">
        <w:t xml:space="preserve"> (CORE REFERENCE MATERIALS)</w:t>
      </w:r>
    </w:p>
    <w:p w14:paraId="49831554" w14:textId="33F0322B" w:rsidR="00CB035B" w:rsidRPr="008E2021" w:rsidRDefault="00CB03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 w:cstheme="minorHAnsi"/>
          <w:sz w:val="22"/>
          <w:szCs w:val="22"/>
        </w:rPr>
      </w:pPr>
      <w:r w:rsidRPr="008E2021">
        <w:rPr>
          <w:rFonts w:ascii="Garamond" w:hAnsi="Garamond" w:cstheme="minorHAnsi"/>
          <w:sz w:val="22"/>
          <w:szCs w:val="22"/>
        </w:rPr>
        <w:t xml:space="preserve">E. Spaventa ’Fundamental Rights in the European Union’ in C. Barnard and S. Peers (ed) </w:t>
      </w:r>
      <w:r w:rsidRPr="008E2021">
        <w:rPr>
          <w:rFonts w:ascii="Garamond" w:hAnsi="Garamond" w:cstheme="minorHAnsi"/>
          <w:i/>
          <w:sz w:val="22"/>
          <w:szCs w:val="22"/>
        </w:rPr>
        <w:t>European Union Law</w:t>
      </w:r>
      <w:r w:rsidRPr="008E2021">
        <w:rPr>
          <w:rFonts w:ascii="Garamond" w:hAnsi="Garamond" w:cstheme="minorHAnsi"/>
          <w:sz w:val="22"/>
          <w:szCs w:val="22"/>
        </w:rPr>
        <w:t xml:space="preserve"> (O</w:t>
      </w:r>
      <w:r w:rsidR="007F474A" w:rsidRPr="008E2021">
        <w:rPr>
          <w:rFonts w:ascii="Garamond" w:hAnsi="Garamond" w:cstheme="minorHAnsi"/>
          <w:sz w:val="22"/>
          <w:szCs w:val="22"/>
        </w:rPr>
        <w:t>xford University Press,</w:t>
      </w:r>
      <w:r w:rsidRPr="008E2021">
        <w:rPr>
          <w:rFonts w:ascii="Garamond" w:hAnsi="Garamond" w:cstheme="minorHAnsi"/>
          <w:sz w:val="22"/>
          <w:szCs w:val="22"/>
        </w:rPr>
        <w:t xml:space="preserve"> 20</w:t>
      </w:r>
      <w:r w:rsidR="00A03B25" w:rsidRPr="008E2021">
        <w:rPr>
          <w:rFonts w:ascii="Garamond" w:hAnsi="Garamond" w:cstheme="minorHAnsi"/>
          <w:sz w:val="22"/>
          <w:szCs w:val="22"/>
        </w:rPr>
        <w:t>20</w:t>
      </w:r>
      <w:r w:rsidRPr="008E2021">
        <w:rPr>
          <w:rFonts w:ascii="Garamond" w:hAnsi="Garamond" w:cstheme="minorHAnsi"/>
          <w:sz w:val="22"/>
          <w:szCs w:val="22"/>
        </w:rPr>
        <w:t xml:space="preserve">) </w:t>
      </w:r>
      <w:r w:rsidR="0009675E" w:rsidRPr="008E2021">
        <w:rPr>
          <w:rFonts w:ascii="Garamond" w:hAnsi="Garamond" w:cstheme="minorHAnsi"/>
          <w:sz w:val="22"/>
          <w:szCs w:val="22"/>
        </w:rPr>
        <w:t>243-282</w:t>
      </w:r>
      <w:r w:rsidRPr="008E2021">
        <w:rPr>
          <w:rFonts w:ascii="Garamond" w:hAnsi="Garamond" w:cstheme="minorHAnsi"/>
          <w:sz w:val="22"/>
          <w:szCs w:val="22"/>
        </w:rPr>
        <w:t xml:space="preserve"> </w:t>
      </w:r>
    </w:p>
    <w:p w14:paraId="44D6091D" w14:textId="6480DCF5" w:rsidR="00CB035B" w:rsidRPr="008E2021" w:rsidRDefault="00CB03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 w:cstheme="minorHAnsi"/>
          <w:sz w:val="22"/>
          <w:szCs w:val="22"/>
        </w:rPr>
      </w:pPr>
      <w:r w:rsidRPr="008E2021">
        <w:rPr>
          <w:rFonts w:ascii="Garamond" w:hAnsi="Garamond" w:cstheme="minorHAnsi"/>
          <w:sz w:val="22"/>
          <w:szCs w:val="22"/>
        </w:rPr>
        <w:t xml:space="preserve">P Craig and G De Burca </w:t>
      </w:r>
      <w:r w:rsidRPr="008E2021">
        <w:rPr>
          <w:rFonts w:ascii="Garamond" w:hAnsi="Garamond" w:cstheme="minorHAnsi"/>
          <w:i/>
          <w:iCs/>
          <w:sz w:val="22"/>
          <w:szCs w:val="22"/>
        </w:rPr>
        <w:t>European Union Law: Texts, Cases and Materials</w:t>
      </w:r>
      <w:r w:rsidRPr="008E2021">
        <w:rPr>
          <w:rFonts w:ascii="Garamond" w:hAnsi="Garamond" w:cstheme="minorHAnsi"/>
          <w:sz w:val="22"/>
          <w:szCs w:val="22"/>
        </w:rPr>
        <w:t xml:space="preserve"> (</w:t>
      </w:r>
      <w:r w:rsidR="00C331AA" w:rsidRPr="008E2021">
        <w:rPr>
          <w:rFonts w:ascii="Garamond" w:hAnsi="Garamond" w:cstheme="minorHAnsi"/>
          <w:sz w:val="22"/>
          <w:szCs w:val="22"/>
        </w:rPr>
        <w:t xml:space="preserve">7th ed., </w:t>
      </w:r>
      <w:r w:rsidR="007F474A" w:rsidRPr="008E2021">
        <w:rPr>
          <w:rFonts w:ascii="Garamond" w:hAnsi="Garamond" w:cstheme="minorHAnsi"/>
          <w:sz w:val="22"/>
          <w:szCs w:val="22"/>
        </w:rPr>
        <w:t>Oxford University Press, 2020)</w:t>
      </w:r>
      <w:r w:rsidRPr="008E2021">
        <w:rPr>
          <w:rFonts w:ascii="Garamond" w:hAnsi="Garamond" w:cstheme="minorHAnsi"/>
          <w:sz w:val="22"/>
          <w:szCs w:val="22"/>
        </w:rPr>
        <w:t>, chapter 12 ’Human Rights in the E</w:t>
      </w:r>
      <w:r w:rsidR="007F474A" w:rsidRPr="008E2021">
        <w:rPr>
          <w:rFonts w:ascii="Garamond" w:hAnsi="Garamond" w:cstheme="minorHAnsi"/>
          <w:sz w:val="22"/>
          <w:szCs w:val="22"/>
        </w:rPr>
        <w:t>uropean Union</w:t>
      </w:r>
      <w:r w:rsidRPr="008E2021">
        <w:rPr>
          <w:rFonts w:ascii="Garamond" w:hAnsi="Garamond" w:cstheme="minorHAnsi"/>
          <w:sz w:val="22"/>
          <w:szCs w:val="22"/>
        </w:rPr>
        <w:t xml:space="preserve">’ </w:t>
      </w:r>
      <w:r w:rsidR="000B4BD8" w:rsidRPr="008E2021">
        <w:rPr>
          <w:rFonts w:ascii="Garamond" w:hAnsi="Garamond" w:cstheme="minorHAnsi"/>
          <w:sz w:val="22"/>
          <w:szCs w:val="22"/>
        </w:rPr>
        <w:t>414-463</w:t>
      </w:r>
    </w:p>
    <w:p w14:paraId="708DFC3A" w14:textId="4BE1FE55" w:rsidR="00CB035B" w:rsidRPr="008E2021" w:rsidRDefault="00CB035B">
      <w:pPr>
        <w:pStyle w:val="ListParagraph"/>
        <w:numPr>
          <w:ilvl w:val="0"/>
          <w:numId w:val="2"/>
        </w:numPr>
        <w:rPr>
          <w:sz w:val="22"/>
        </w:rPr>
      </w:pPr>
      <w:r w:rsidRPr="008E2021">
        <w:rPr>
          <w:sz w:val="22"/>
        </w:rPr>
        <w:t xml:space="preserve">M-P Granger, ‘The political dynamics of EU human rights law: scratching beneath the surface.’ </w:t>
      </w:r>
      <w:r w:rsidRPr="008E2021">
        <w:rPr>
          <w:i/>
          <w:iCs/>
          <w:sz w:val="22"/>
        </w:rPr>
        <w:t>Research Handbook on the Politics of EU Law</w:t>
      </w:r>
      <w:r w:rsidRPr="008E2021">
        <w:rPr>
          <w:sz w:val="22"/>
        </w:rPr>
        <w:t xml:space="preserve"> (Edward Elgar Publishing, 2020)</w:t>
      </w:r>
      <w:r w:rsidR="00D24AA0" w:rsidRPr="008E2021">
        <w:rPr>
          <w:sz w:val="22"/>
        </w:rPr>
        <w:t xml:space="preserve"> 246-280.</w:t>
      </w:r>
    </w:p>
    <w:p w14:paraId="6B0BDF5C" w14:textId="0C7A08C3" w:rsidR="008E4F7B" w:rsidRPr="008E2021" w:rsidRDefault="008E4F7B">
      <w:pPr>
        <w:pStyle w:val="ListParagraph"/>
        <w:numPr>
          <w:ilvl w:val="0"/>
          <w:numId w:val="2"/>
        </w:numPr>
        <w:rPr>
          <w:sz w:val="22"/>
        </w:rPr>
      </w:pPr>
      <w:r w:rsidRPr="008E2021">
        <w:rPr>
          <w:sz w:val="22"/>
        </w:rPr>
        <w:t xml:space="preserve">S Douglas-Scott, Sionaidh, and N Hatzis (eds) </w:t>
      </w:r>
      <w:r w:rsidRPr="008E2021">
        <w:rPr>
          <w:i/>
          <w:iCs/>
          <w:sz w:val="22"/>
        </w:rPr>
        <w:t>Research handbook on EU law and human rights</w:t>
      </w:r>
      <w:r w:rsidRPr="008E2021">
        <w:rPr>
          <w:sz w:val="22"/>
        </w:rPr>
        <w:t xml:space="preserve"> (Edward Elgar Publishing, 2017).</w:t>
      </w:r>
    </w:p>
    <w:p w14:paraId="38E24B6F" w14:textId="73BEF294" w:rsidR="00A6705C" w:rsidRPr="008E2021" w:rsidRDefault="00A6705C">
      <w:pPr>
        <w:pStyle w:val="ListParagraph"/>
        <w:numPr>
          <w:ilvl w:val="0"/>
          <w:numId w:val="2"/>
        </w:numPr>
        <w:rPr>
          <w:sz w:val="22"/>
        </w:rPr>
      </w:pPr>
      <w:r w:rsidRPr="008E2021">
        <w:rPr>
          <w:sz w:val="22"/>
        </w:rPr>
        <w:t xml:space="preserve">M Dawson, </w:t>
      </w:r>
      <w:r w:rsidRPr="008E2021">
        <w:rPr>
          <w:i/>
          <w:iCs/>
          <w:sz w:val="22"/>
        </w:rPr>
        <w:t>The governance of EU fundamental rights</w:t>
      </w:r>
      <w:r w:rsidRPr="008E2021">
        <w:rPr>
          <w:sz w:val="22"/>
        </w:rPr>
        <w:t xml:space="preserve"> (Cambridge University Press, 2017)</w:t>
      </w:r>
    </w:p>
    <w:p w14:paraId="3DB7F080" w14:textId="77777777" w:rsidR="00AB0B37" w:rsidRPr="008E2021" w:rsidRDefault="00387892">
      <w:pPr>
        <w:pStyle w:val="ListParagraph"/>
        <w:numPr>
          <w:ilvl w:val="0"/>
          <w:numId w:val="2"/>
        </w:numPr>
        <w:rPr>
          <w:sz w:val="22"/>
        </w:rPr>
      </w:pPr>
      <w:r w:rsidRPr="008E2021">
        <w:rPr>
          <w:i/>
          <w:iCs/>
          <w:sz w:val="22"/>
        </w:rPr>
        <w:lastRenderedPageBreak/>
        <w:t>EU law live</w:t>
      </w:r>
      <w:r w:rsidRPr="008E2021">
        <w:rPr>
          <w:sz w:val="22"/>
        </w:rPr>
        <w:t>, Human Rights</w:t>
      </w:r>
      <w:r w:rsidR="00CB035B" w:rsidRPr="008E2021">
        <w:rPr>
          <w:sz w:val="22"/>
        </w:rPr>
        <w:t xml:space="preserve"> </w:t>
      </w:r>
      <w:r w:rsidR="00F7425E" w:rsidRPr="008E2021">
        <w:rPr>
          <w:sz w:val="22"/>
        </w:rPr>
        <w:t>category</w:t>
      </w:r>
      <w:r w:rsidRPr="008E2021">
        <w:rPr>
          <w:sz w:val="22"/>
        </w:rPr>
        <w:t xml:space="preserve">: </w:t>
      </w:r>
      <w:hyperlink r:id="rId16" w:history="1">
        <w:r w:rsidRPr="008E2021">
          <w:rPr>
            <w:rStyle w:val="Hyperlink"/>
            <w:sz w:val="22"/>
          </w:rPr>
          <w:t>https://eulawlive.com/category/human-rights/</w:t>
        </w:r>
      </w:hyperlink>
      <w:r w:rsidRPr="008E2021">
        <w:rPr>
          <w:sz w:val="22"/>
        </w:rPr>
        <w:t xml:space="preserve"> </w:t>
      </w:r>
    </w:p>
    <w:p w14:paraId="528A2CC5" w14:textId="0B35D8D4" w:rsidR="00774D8E" w:rsidRPr="008E2021" w:rsidRDefault="00774D8E">
      <w:pPr>
        <w:pStyle w:val="ListParagraph"/>
        <w:numPr>
          <w:ilvl w:val="0"/>
          <w:numId w:val="2"/>
        </w:numPr>
        <w:rPr>
          <w:sz w:val="22"/>
        </w:rPr>
      </w:pPr>
      <w:r w:rsidRPr="008E2021">
        <w:rPr>
          <w:sz w:val="22"/>
        </w:rPr>
        <w:t xml:space="preserve">2020 </w:t>
      </w:r>
      <w:r w:rsidR="00C331AA" w:rsidRPr="008E2021">
        <w:rPr>
          <w:sz w:val="22"/>
        </w:rPr>
        <w:t>‘</w:t>
      </w:r>
      <w:r w:rsidRPr="008E2021">
        <w:rPr>
          <w:sz w:val="22"/>
        </w:rPr>
        <w:t xml:space="preserve">New </w:t>
      </w:r>
      <w:r w:rsidR="00AB0B37" w:rsidRPr="008E2021">
        <w:rPr>
          <w:sz w:val="22"/>
        </w:rPr>
        <w:t>Strategy to strengthen the application of the Charter of Fundamental Rights in the EU</w:t>
      </w:r>
      <w:r w:rsidR="00C331AA" w:rsidRPr="008E2021">
        <w:rPr>
          <w:sz w:val="22"/>
        </w:rPr>
        <w:t>’</w:t>
      </w:r>
      <w:r w:rsidR="00AB0B37" w:rsidRPr="008E2021">
        <w:rPr>
          <w:sz w:val="22"/>
        </w:rPr>
        <w:t xml:space="preserve"> COM/2020/711 final</w:t>
      </w:r>
      <w:r w:rsidR="00AB0B37" w:rsidRPr="008E2021">
        <w:rPr>
          <w:rFonts w:ascii="Times New Roman" w:hAnsi="Times New Roman"/>
          <w:sz w:val="22"/>
        </w:rPr>
        <w:t xml:space="preserve"> </w:t>
      </w:r>
      <w:hyperlink r:id="rId17" w:history="1">
        <w:r w:rsidR="00D73DE6" w:rsidRPr="008E2021">
          <w:rPr>
            <w:rStyle w:val="Hyperlink"/>
            <w:sz w:val="22"/>
          </w:rPr>
          <w:t>https://eur-lex.europa.eu/legal-content/EN/TXT/?uri=CELEX%3A52020DC0711&amp;qid=1608047356199</w:t>
        </w:r>
      </w:hyperlink>
      <w:r w:rsidR="00AB0B37" w:rsidRPr="008E2021">
        <w:rPr>
          <w:sz w:val="22"/>
        </w:rPr>
        <w:t xml:space="preserve"> </w:t>
      </w:r>
    </w:p>
    <w:p w14:paraId="2877CCBD" w14:textId="078AF719" w:rsidR="001E09A2" w:rsidRPr="008E2021" w:rsidRDefault="00CC6968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8E2021">
        <w:rPr>
          <w:rFonts w:cstheme="minorHAnsi"/>
          <w:sz w:val="22"/>
        </w:rPr>
        <w:t xml:space="preserve">Lawschool Westlaw Case briefing: </w:t>
      </w:r>
      <w:hyperlink r:id="rId18" w:history="1">
        <w:r w:rsidR="00812EEF" w:rsidRPr="008E2021">
          <w:rPr>
            <w:rStyle w:val="Hyperlink"/>
            <w:rFonts w:cstheme="minorHAnsi"/>
            <w:sz w:val="22"/>
          </w:rPr>
          <w:t>https://lawschool.westlaw.com/marketing/display/SG/3</w:t>
        </w:r>
      </w:hyperlink>
      <w:r w:rsidR="00812EEF" w:rsidRPr="008E2021">
        <w:rPr>
          <w:rFonts w:cstheme="minorHAnsi"/>
          <w:sz w:val="22"/>
        </w:rPr>
        <w:t xml:space="preserve"> </w:t>
      </w:r>
    </w:p>
    <w:p w14:paraId="79362C6E" w14:textId="151428AE" w:rsidR="00446679" w:rsidRPr="008E2021" w:rsidRDefault="00446679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8E2021">
        <w:rPr>
          <w:rFonts w:cs="Arial"/>
          <w:sz w:val="22"/>
        </w:rPr>
        <w:t xml:space="preserve">MP Granger, </w:t>
      </w:r>
      <w:r w:rsidR="005700C8" w:rsidRPr="008E2021">
        <w:rPr>
          <w:rFonts w:cs="Arial"/>
          <w:sz w:val="22"/>
        </w:rPr>
        <w:t xml:space="preserve">‘Revisiting the foundation of European Union citizenship </w:t>
      </w:r>
      <w:r w:rsidR="00BF3BF5" w:rsidRPr="008E2021">
        <w:rPr>
          <w:rFonts w:cs="Arial"/>
          <w:sz w:val="22"/>
        </w:rPr>
        <w:t>–</w:t>
      </w:r>
      <w:r w:rsidR="005700C8" w:rsidRPr="008E2021">
        <w:rPr>
          <w:rFonts w:cs="Arial"/>
          <w:sz w:val="22"/>
        </w:rPr>
        <w:t xml:space="preserve"> </w:t>
      </w:r>
      <w:r w:rsidR="00BF3BF5" w:rsidRPr="008E2021">
        <w:rPr>
          <w:rFonts w:cs="Arial"/>
          <w:sz w:val="22"/>
        </w:rPr>
        <w:t xml:space="preserve">making it relevant to all EU citizens’ (2016), bEUcitizen </w:t>
      </w:r>
      <w:r w:rsidR="005700C8" w:rsidRPr="008E2021">
        <w:rPr>
          <w:rFonts w:cs="Arial"/>
          <w:sz w:val="22"/>
        </w:rPr>
        <w:t>policy brief</w:t>
      </w:r>
      <w:r w:rsidR="00BF3BF5" w:rsidRPr="008E2021">
        <w:rPr>
          <w:rFonts w:cs="Arial"/>
          <w:sz w:val="22"/>
        </w:rPr>
        <w:t xml:space="preserve">, </w:t>
      </w:r>
      <w:r w:rsidR="005700C8" w:rsidRPr="008E2021">
        <w:rPr>
          <w:rFonts w:cs="Arial"/>
          <w:sz w:val="22"/>
        </w:rPr>
        <w:t xml:space="preserve"> </w:t>
      </w:r>
      <w:hyperlink r:id="rId19" w:anchor=".ZA9cax_MK38" w:history="1">
        <w:r w:rsidR="005700C8" w:rsidRPr="008E2021">
          <w:rPr>
            <w:rStyle w:val="Hyperlink"/>
            <w:rFonts w:cs="Arial"/>
            <w:sz w:val="22"/>
          </w:rPr>
          <w:t>https://zenodo.org/record/344805#.ZA9cax_MK38</w:t>
        </w:r>
      </w:hyperlink>
      <w:r w:rsidRPr="008E2021">
        <w:rPr>
          <w:rFonts w:cs="Arial"/>
          <w:sz w:val="22"/>
        </w:rPr>
        <w:t xml:space="preserve"> </w:t>
      </w:r>
    </w:p>
    <w:p w14:paraId="41696338" w14:textId="71D226F3" w:rsidR="00575FE1" w:rsidRPr="00DF26DB" w:rsidRDefault="00EF1035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 xml:space="preserve">FAO, 4.1 Preparing policy brief, </w:t>
      </w:r>
      <w:hyperlink r:id="rId20" w:history="1">
        <w:r w:rsidRPr="00782289">
          <w:rPr>
            <w:rStyle w:val="Hyperlink"/>
          </w:rPr>
          <w:t>https://www.fao.org/3/i2195e/i2195e03.pdf</w:t>
        </w:r>
      </w:hyperlink>
      <w:r w:rsidRPr="00782289">
        <w:t xml:space="preserve"> </w:t>
      </w:r>
      <w:r>
        <w:t>. (pp.1-31).</w:t>
      </w:r>
    </w:p>
    <w:p w14:paraId="61007D57" w14:textId="223B3372" w:rsidR="00DF26DB" w:rsidRPr="008E2021" w:rsidRDefault="00DF26DB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theme="minorHAnsi"/>
        </w:rPr>
        <w:t>Consolidated versions of</w:t>
      </w:r>
      <w:r w:rsidRPr="00651CFF">
        <w:rPr>
          <w:rFonts w:cstheme="minorHAnsi"/>
        </w:rPr>
        <w:t xml:space="preserve"> </w:t>
      </w:r>
      <w:hyperlink r:id="rId21" w:history="1">
        <w:r w:rsidRPr="00651CFF">
          <w:rPr>
            <w:rStyle w:val="Hyperlink"/>
            <w:rFonts w:cstheme="minorHAnsi"/>
          </w:rPr>
          <w:t>the Treaty on the Functioning of the European Union</w:t>
        </w:r>
      </w:hyperlink>
      <w:r w:rsidRPr="00651CFF">
        <w:rPr>
          <w:rFonts w:cstheme="minorHAnsi"/>
        </w:rPr>
        <w:t xml:space="preserve"> a</w:t>
      </w:r>
      <w:r>
        <w:rPr>
          <w:rFonts w:cstheme="minorHAnsi"/>
        </w:rPr>
        <w:t>n</w:t>
      </w:r>
      <w:r w:rsidRPr="00651CFF">
        <w:rPr>
          <w:rFonts w:cstheme="minorHAnsi"/>
        </w:rPr>
        <w:t xml:space="preserve">d the </w:t>
      </w:r>
      <w:hyperlink r:id="rId22" w:history="1">
        <w:r w:rsidRPr="00651CFF">
          <w:rPr>
            <w:rStyle w:val="Hyperlink"/>
            <w:rFonts w:cstheme="minorHAnsi"/>
          </w:rPr>
          <w:t>Treaty on the European Union</w:t>
        </w:r>
      </w:hyperlink>
      <w:r w:rsidRPr="00651CFF">
        <w:rPr>
          <w:rFonts w:cstheme="minorHAnsi"/>
        </w:rPr>
        <w:t>.</w:t>
      </w:r>
    </w:p>
    <w:p w14:paraId="6A7B6788" w14:textId="77777777" w:rsidR="00CC66E7" w:rsidRPr="005700C8" w:rsidRDefault="00CC66E7" w:rsidP="008667F2">
      <w:pPr>
        <w:widowControl w:val="0"/>
        <w:autoSpaceDE w:val="0"/>
        <w:autoSpaceDN w:val="0"/>
        <w:adjustRightInd w:val="0"/>
        <w:spacing w:before="46" w:line="240" w:lineRule="auto"/>
        <w:rPr>
          <w:rFonts w:cs="Cambria"/>
          <w:b/>
          <w:bCs/>
          <w:color w:val="000000"/>
        </w:rPr>
      </w:pPr>
    </w:p>
    <w:p w14:paraId="6558AD03" w14:textId="6EECEDBD" w:rsidR="008E58C4" w:rsidRPr="00651CFF" w:rsidRDefault="008667F2" w:rsidP="00E22EBB">
      <w:pPr>
        <w:pStyle w:val="Heading1"/>
      </w:pPr>
      <w:r w:rsidRPr="00651CFF">
        <w:t>REQUIRED AND RECOMMENDED READINGS, ASSIGNMENTS</w:t>
      </w:r>
    </w:p>
    <w:p w14:paraId="15BDADD9" w14:textId="1BD737EB" w:rsidR="007538A8" w:rsidRPr="00651CFF" w:rsidRDefault="007538A8" w:rsidP="007538A8">
      <w:pPr>
        <w:spacing w:before="120"/>
        <w:rPr>
          <w:rFonts w:cstheme="minorHAnsi"/>
        </w:rPr>
      </w:pPr>
      <w:r w:rsidRPr="00651CFF">
        <w:rPr>
          <w:rFonts w:cstheme="minorHAnsi"/>
        </w:rPr>
        <w:t xml:space="preserve">This course </w:t>
      </w:r>
      <w:r w:rsidR="00EF1035">
        <w:rPr>
          <w:rFonts w:cstheme="minorHAnsi"/>
        </w:rPr>
        <w:t>normally uses</w:t>
      </w:r>
      <w:r w:rsidRPr="00651CFF">
        <w:rPr>
          <w:rFonts w:cstheme="minorHAnsi"/>
        </w:rPr>
        <w:t xml:space="preserve"> the new numbering of the EU and TFEU treaties post-Lisbon, unless otherwise specified</w:t>
      </w:r>
      <w:r w:rsidR="00A669E0">
        <w:rPr>
          <w:rFonts w:cstheme="minorHAnsi"/>
        </w:rPr>
        <w:t xml:space="preserve"> or defined by the historical context of the document</w:t>
      </w:r>
      <w:r w:rsidRPr="00651CFF">
        <w:rPr>
          <w:rFonts w:cstheme="minorHAnsi"/>
        </w:rPr>
        <w:t xml:space="preserve">. </w:t>
      </w:r>
    </w:p>
    <w:p w14:paraId="7C46E394" w14:textId="4457CD7C" w:rsidR="00E22EBB" w:rsidRPr="0047180E" w:rsidRDefault="007538A8" w:rsidP="0047180E">
      <w:pPr>
        <w:spacing w:before="120"/>
        <w:rPr>
          <w:rFonts w:cstheme="minorHAnsi"/>
        </w:rPr>
      </w:pPr>
      <w:r w:rsidRPr="00651CFF">
        <w:rPr>
          <w:rFonts w:cstheme="minorHAnsi"/>
        </w:rPr>
        <w:t>Some of the reading or consultation materials provided for that course are subject to change, to cater for recent developments and publications. Please check the course</w:t>
      </w:r>
      <w:r w:rsidR="006C14B4">
        <w:rPr>
          <w:rFonts w:cstheme="minorHAnsi"/>
        </w:rPr>
        <w:t xml:space="preserve"> </w:t>
      </w:r>
      <w:hyperlink r:id="rId23" w:history="1">
        <w:r w:rsidR="006C14B4">
          <w:rPr>
            <w:rStyle w:val="Hyperlink"/>
            <w:rFonts w:cstheme="minorHAnsi"/>
          </w:rPr>
          <w:t>Moodle e</w:t>
        </w:r>
        <w:r w:rsidRPr="00651CFF">
          <w:rPr>
            <w:rStyle w:val="Hyperlink"/>
            <w:rFonts w:cstheme="minorHAnsi"/>
          </w:rPr>
          <w:t xml:space="preserve">-learning </w:t>
        </w:r>
        <w:r w:rsidR="006C14B4">
          <w:rPr>
            <w:rStyle w:val="Hyperlink"/>
            <w:rFonts w:cstheme="minorHAnsi"/>
          </w:rPr>
          <w:t>platform</w:t>
        </w:r>
      </w:hyperlink>
      <w:r w:rsidRPr="00651CFF">
        <w:rPr>
          <w:rFonts w:cstheme="minorHAnsi"/>
        </w:rPr>
        <w:t>, for updated information on classes</w:t>
      </w:r>
      <w:r w:rsidR="006C14B4">
        <w:rPr>
          <w:rFonts w:cstheme="minorHAnsi"/>
        </w:rPr>
        <w:t xml:space="preserve"> schedule, rooms</w:t>
      </w:r>
      <w:r w:rsidRPr="00651CFF">
        <w:rPr>
          <w:rFonts w:cstheme="minorHAnsi"/>
        </w:rPr>
        <w:t>, assignments uploads and access to online resources</w:t>
      </w:r>
      <w:r w:rsidR="00B806A4">
        <w:rPr>
          <w:rFonts w:cstheme="minorHAnsi"/>
        </w:rPr>
        <w:t>.</w:t>
      </w:r>
    </w:p>
    <w:p w14:paraId="7E4E963A" w14:textId="67027303" w:rsidR="00E22EBB" w:rsidRPr="00651CFF" w:rsidRDefault="00E22EBB" w:rsidP="00E22EBB">
      <w:pPr>
        <w:pStyle w:val="Heading1"/>
      </w:pPr>
      <w:r w:rsidRPr="00E22EBB">
        <w:t xml:space="preserve">DETAILED TOPIC-BY-TOPIC CONTENT </w:t>
      </w:r>
    </w:p>
    <w:p w14:paraId="3DC8CDC5" w14:textId="40609B98" w:rsidR="00D67BE9" w:rsidRPr="00651CFF" w:rsidRDefault="002509E5" w:rsidP="00E22EBB">
      <w:pPr>
        <w:pStyle w:val="Heading2"/>
        <w:rPr>
          <w:b w:val="0"/>
        </w:rPr>
      </w:pPr>
      <w:r w:rsidRPr="00651CFF">
        <w:t>1</w:t>
      </w:r>
      <w:r w:rsidR="005C6A1D">
        <w:t>-2</w:t>
      </w:r>
      <w:r w:rsidRPr="00651CFF">
        <w:t xml:space="preserve">. </w:t>
      </w:r>
      <w:r w:rsidR="006C5B16" w:rsidRPr="00651CFF">
        <w:t>The</w:t>
      </w:r>
      <w:r w:rsidR="00524D4E" w:rsidRPr="00651CFF">
        <w:t xml:space="preserve"> </w:t>
      </w:r>
      <w:r w:rsidR="00D67BE9" w:rsidRPr="00651CFF">
        <w:t>myth</w:t>
      </w:r>
      <w:r w:rsidR="00561500" w:rsidRPr="00651CFF">
        <w:t>ology</w:t>
      </w:r>
      <w:r w:rsidR="00524D4E" w:rsidRPr="00651CFF">
        <w:t xml:space="preserve"> of EU human rights law</w:t>
      </w:r>
      <w:r w:rsidR="00BE195F">
        <w:t xml:space="preserve"> </w:t>
      </w:r>
    </w:p>
    <w:p w14:paraId="5A53AA38" w14:textId="5C57C49C" w:rsidR="000663B9" w:rsidRDefault="000663B9" w:rsidP="009C667C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Course introduction</w:t>
      </w:r>
      <w:r w:rsidR="00600059">
        <w:rPr>
          <w:rFonts w:cstheme="minorHAnsi"/>
          <w:shd w:val="clear" w:color="auto" w:fill="FFFFFF"/>
        </w:rPr>
        <w:t>: b</w:t>
      </w:r>
      <w:r>
        <w:rPr>
          <w:rFonts w:cstheme="minorHAnsi"/>
          <w:shd w:val="clear" w:color="auto" w:fill="FFFFFF"/>
        </w:rPr>
        <w:t xml:space="preserve">asic information on course goals and structure, typical class design, </w:t>
      </w:r>
      <w:r w:rsidR="00600059">
        <w:rPr>
          <w:rFonts w:cstheme="minorHAnsi"/>
          <w:shd w:val="clear" w:color="auto" w:fill="FFFFFF"/>
        </w:rPr>
        <w:t>and</w:t>
      </w:r>
      <w:r w:rsidR="00A242E6">
        <w:rPr>
          <w:rFonts w:cstheme="minorHAnsi"/>
          <w:shd w:val="clear" w:color="auto" w:fill="FFFFFF"/>
        </w:rPr>
        <w:t xml:space="preserve"> assignments (</w:t>
      </w:r>
      <w:r>
        <w:rPr>
          <w:rFonts w:cstheme="minorHAnsi"/>
          <w:shd w:val="clear" w:color="auto" w:fill="FFFFFF"/>
        </w:rPr>
        <w:t xml:space="preserve">case briefing &amp; presentation technique, </w:t>
      </w:r>
      <w:r w:rsidR="00600059">
        <w:rPr>
          <w:rFonts w:cstheme="minorHAnsi"/>
          <w:shd w:val="clear" w:color="auto" w:fill="FFFFFF"/>
        </w:rPr>
        <w:t xml:space="preserve">short </w:t>
      </w:r>
      <w:r>
        <w:rPr>
          <w:rFonts w:cstheme="minorHAnsi"/>
          <w:shd w:val="clear" w:color="auto" w:fill="FFFFFF"/>
        </w:rPr>
        <w:t>conference presentation</w:t>
      </w:r>
      <w:r w:rsidR="00A242E6">
        <w:rPr>
          <w:rFonts w:cstheme="minorHAnsi"/>
          <w:shd w:val="clear" w:color="auto" w:fill="FFFFFF"/>
        </w:rPr>
        <w:t xml:space="preserve"> simulation, mini-moot</w:t>
      </w:r>
      <w:r>
        <w:rPr>
          <w:rFonts w:cstheme="minorHAnsi"/>
          <w:shd w:val="clear" w:color="auto" w:fill="FFFFFF"/>
        </w:rPr>
        <w:t xml:space="preserve"> exercise</w:t>
      </w:r>
      <w:r w:rsidR="007C4666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policy briefing</w:t>
      </w:r>
      <w:r w:rsidR="007C4666">
        <w:rPr>
          <w:rFonts w:cstheme="minorHAnsi"/>
          <w:shd w:val="clear" w:color="auto" w:fill="FFFFFF"/>
        </w:rPr>
        <w:t>, research video presentation ‘vlog’</w:t>
      </w:r>
      <w:r w:rsidR="0030485B">
        <w:rPr>
          <w:rFonts w:cstheme="minorHAnsi"/>
          <w:shd w:val="clear" w:color="auto" w:fill="FFFFFF"/>
        </w:rPr>
        <w:t>)</w:t>
      </w:r>
    </w:p>
    <w:p w14:paraId="53EAA132" w14:textId="72B1001D" w:rsidR="00017444" w:rsidRDefault="001C4212" w:rsidP="009C667C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Discussion questions: </w:t>
      </w:r>
      <w:r w:rsidR="009C667C">
        <w:rPr>
          <w:rFonts w:cstheme="minorHAnsi"/>
          <w:shd w:val="clear" w:color="auto" w:fill="FFFFFF"/>
        </w:rPr>
        <w:t>What is the position of fundamental</w:t>
      </w:r>
      <w:r w:rsidR="00412809">
        <w:rPr>
          <w:rFonts w:cstheme="minorHAnsi"/>
          <w:shd w:val="clear" w:color="auto" w:fill="FFFFFF"/>
        </w:rPr>
        <w:t xml:space="preserve"> </w:t>
      </w:r>
      <w:r w:rsidR="009C667C">
        <w:rPr>
          <w:rFonts w:cstheme="minorHAnsi"/>
          <w:shd w:val="clear" w:color="auto" w:fill="FFFFFF"/>
        </w:rPr>
        <w:t>human rights in the EU</w:t>
      </w:r>
      <w:r w:rsidR="006C14B4">
        <w:rPr>
          <w:rFonts w:cstheme="minorHAnsi"/>
          <w:shd w:val="clear" w:color="auto" w:fill="FFFFFF"/>
        </w:rPr>
        <w:t xml:space="preserve">? </w:t>
      </w:r>
      <w:r>
        <w:rPr>
          <w:rFonts w:cstheme="minorHAnsi"/>
          <w:shd w:val="clear" w:color="auto" w:fill="FFFFFF"/>
        </w:rPr>
        <w:t>How has</w:t>
      </w:r>
      <w:r w:rsidR="009C667C">
        <w:rPr>
          <w:rFonts w:cstheme="minorHAnsi"/>
          <w:shd w:val="clear" w:color="auto" w:fill="FFFFFF"/>
        </w:rPr>
        <w:t xml:space="preserve"> it evolved overtime? Can we talk about progress? What narratives are used, by whom, and does it matter? </w:t>
      </w:r>
    </w:p>
    <w:p w14:paraId="4E7A3A80" w14:textId="77777777" w:rsidR="00A228AB" w:rsidRPr="00651CFF" w:rsidRDefault="00A228AB" w:rsidP="00A228AB">
      <w:pPr>
        <w:pStyle w:val="Heading3"/>
      </w:pPr>
      <w:r w:rsidRPr="00651CFF">
        <w:t>Preparation for the class</w:t>
      </w:r>
    </w:p>
    <w:p w14:paraId="5A68DA36" w14:textId="3EDD1A99" w:rsidR="00017444" w:rsidRDefault="00017444" w:rsidP="009C667C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 preparation for the class, please comment and answer questions on the</w:t>
      </w:r>
      <w:r w:rsidR="001B7716">
        <w:rPr>
          <w:rFonts w:cstheme="minorHAnsi"/>
          <w:shd w:val="clear" w:color="auto" w:fill="FFFFFF"/>
        </w:rPr>
        <w:t xml:space="preserve"> two articles</w:t>
      </w:r>
      <w:r w:rsidR="00600E25">
        <w:rPr>
          <w:rFonts w:cstheme="minorHAnsi"/>
          <w:shd w:val="clear" w:color="auto" w:fill="FFFFFF"/>
        </w:rPr>
        <w:t>’ extract</w:t>
      </w:r>
      <w:r w:rsidR="001B7716">
        <w:rPr>
          <w:rFonts w:cstheme="minorHAnsi"/>
          <w:shd w:val="clear" w:color="auto" w:fill="FFFFFF"/>
        </w:rPr>
        <w:t xml:space="preserve"> below </w:t>
      </w:r>
      <w:r w:rsidR="00600E25">
        <w:rPr>
          <w:rFonts w:cstheme="minorHAnsi"/>
          <w:shd w:val="clear" w:color="auto" w:fill="FFFFFF"/>
        </w:rPr>
        <w:t>via</w:t>
      </w:r>
      <w:r w:rsidR="001B7716">
        <w:rPr>
          <w:rFonts w:cstheme="minorHAnsi"/>
          <w:shd w:val="clear" w:color="auto" w:fill="FFFFFF"/>
        </w:rPr>
        <w:t xml:space="preserve"> PERUSALL.</w:t>
      </w:r>
    </w:p>
    <w:p w14:paraId="3F7B1D89" w14:textId="660E93EA" w:rsidR="0076264D" w:rsidRPr="009F25E7" w:rsidRDefault="00350A80" w:rsidP="009F25E7">
      <w:pPr>
        <w:pStyle w:val="Heading3"/>
        <w:rPr>
          <w:shd w:val="clear" w:color="auto" w:fill="FFFFFF"/>
        </w:rPr>
      </w:pPr>
      <w:r w:rsidRPr="00651CFF">
        <w:t>Mandatory reading</w:t>
      </w:r>
      <w:r w:rsidRPr="009C667C">
        <w:rPr>
          <w:shd w:val="clear" w:color="auto" w:fill="FFFFFF"/>
        </w:rPr>
        <w:t xml:space="preserve"> </w:t>
      </w:r>
    </w:p>
    <w:p w14:paraId="7D0E0AB8" w14:textId="43E123B0" w:rsidR="00561500" w:rsidRPr="00183EEC" w:rsidRDefault="00BA083F">
      <w:pPr>
        <w:pStyle w:val="ListParagraph"/>
        <w:numPr>
          <w:ilvl w:val="0"/>
          <w:numId w:val="4"/>
        </w:numPr>
        <w:spacing w:before="120" w:line="240" w:lineRule="auto"/>
        <w:rPr>
          <w:rFonts w:cstheme="minorHAnsi"/>
          <w:szCs w:val="24"/>
        </w:rPr>
      </w:pPr>
      <w:r w:rsidRPr="00183EEC">
        <w:rPr>
          <w:rFonts w:cstheme="minorHAnsi"/>
          <w:szCs w:val="24"/>
        </w:rPr>
        <w:t xml:space="preserve">G </w:t>
      </w:r>
      <w:r w:rsidR="00D67BE9" w:rsidRPr="00183EEC">
        <w:rPr>
          <w:rFonts w:cstheme="minorHAnsi"/>
          <w:szCs w:val="24"/>
        </w:rPr>
        <w:t>De Búrca, ‘</w:t>
      </w:r>
      <w:r w:rsidR="00D67BE9" w:rsidRPr="00A455F9">
        <w:rPr>
          <w:rFonts w:cstheme="minorHAnsi"/>
          <w:szCs w:val="24"/>
        </w:rPr>
        <w:t>The road not taken: the European Union as a global human rights actor’</w:t>
      </w:r>
      <w:r w:rsidR="00D67BE9" w:rsidRPr="00183EEC">
        <w:rPr>
          <w:rFonts w:cstheme="minorHAnsi"/>
          <w:szCs w:val="24"/>
        </w:rPr>
        <w:t xml:space="preserve"> (2011) </w:t>
      </w:r>
      <w:r w:rsidR="00D67BE9" w:rsidRPr="00183EEC">
        <w:rPr>
          <w:rFonts w:cstheme="minorHAnsi"/>
          <w:i/>
          <w:iCs/>
          <w:szCs w:val="24"/>
        </w:rPr>
        <w:t>105</w:t>
      </w:r>
      <w:r w:rsidR="00D67BE9" w:rsidRPr="00183EEC">
        <w:rPr>
          <w:rFonts w:cstheme="minorHAnsi"/>
          <w:szCs w:val="24"/>
        </w:rPr>
        <w:t xml:space="preserve">(4) </w:t>
      </w:r>
      <w:r w:rsidR="00D67BE9" w:rsidRPr="00183EEC">
        <w:rPr>
          <w:rFonts w:cstheme="minorHAnsi"/>
          <w:i/>
          <w:iCs/>
          <w:szCs w:val="24"/>
        </w:rPr>
        <w:t>American Journal of international law</w:t>
      </w:r>
      <w:r w:rsidR="00D67BE9" w:rsidRPr="00183EEC">
        <w:rPr>
          <w:rFonts w:cstheme="minorHAnsi"/>
          <w:szCs w:val="24"/>
        </w:rPr>
        <w:t>, 649-693</w:t>
      </w:r>
      <w:r w:rsidR="00A66616">
        <w:rPr>
          <w:rFonts w:cstheme="minorHAnsi"/>
          <w:szCs w:val="24"/>
        </w:rPr>
        <w:t>. R</w:t>
      </w:r>
      <w:r w:rsidR="00D67BE9" w:rsidRPr="00183EEC">
        <w:rPr>
          <w:rFonts w:cstheme="minorHAnsi"/>
          <w:szCs w:val="24"/>
        </w:rPr>
        <w:t xml:space="preserve">ead </w:t>
      </w:r>
      <w:r w:rsidR="00D67BE9" w:rsidRPr="00A66616">
        <w:rPr>
          <w:rFonts w:cstheme="minorHAnsi"/>
          <w:szCs w:val="24"/>
          <w:highlight w:val="yellow"/>
        </w:rPr>
        <w:t>pp.  649-664</w:t>
      </w:r>
      <w:r w:rsidR="00D67BE9" w:rsidRPr="00183EEC">
        <w:rPr>
          <w:rFonts w:cstheme="minorHAnsi"/>
          <w:szCs w:val="24"/>
        </w:rPr>
        <w:t>) [15 p]</w:t>
      </w:r>
      <w:r w:rsidR="00FA04B0">
        <w:rPr>
          <w:rFonts w:cstheme="minorHAnsi"/>
          <w:szCs w:val="24"/>
        </w:rPr>
        <w:t xml:space="preserve"> – [PERUSALL comments/discussion]</w:t>
      </w:r>
    </w:p>
    <w:p w14:paraId="018A23C3" w14:textId="357E6CDE" w:rsidR="00D67BE9" w:rsidRPr="00183EEC" w:rsidRDefault="00BA083F">
      <w:pPr>
        <w:pStyle w:val="ListParagraph"/>
        <w:numPr>
          <w:ilvl w:val="0"/>
          <w:numId w:val="4"/>
        </w:numPr>
        <w:spacing w:before="120" w:line="240" w:lineRule="auto"/>
        <w:rPr>
          <w:rFonts w:cstheme="minorHAnsi"/>
          <w:szCs w:val="24"/>
        </w:rPr>
      </w:pPr>
      <w:r w:rsidRPr="00183EEC">
        <w:rPr>
          <w:rFonts w:cstheme="minorHAnsi"/>
          <w:szCs w:val="24"/>
          <w:shd w:val="clear" w:color="auto" w:fill="FFFFFF"/>
        </w:rPr>
        <w:t xml:space="preserve">S </w:t>
      </w:r>
      <w:r w:rsidR="00D67BE9" w:rsidRPr="00183EEC">
        <w:rPr>
          <w:rFonts w:cstheme="minorHAnsi"/>
          <w:szCs w:val="24"/>
          <w:shd w:val="clear" w:color="auto" w:fill="FFFFFF"/>
        </w:rPr>
        <w:t>Smi</w:t>
      </w:r>
      <w:r w:rsidR="009E3350" w:rsidRPr="00183EEC">
        <w:rPr>
          <w:rFonts w:cstheme="minorHAnsi"/>
          <w:szCs w:val="24"/>
          <w:shd w:val="clear" w:color="auto" w:fill="FFFFFF"/>
        </w:rPr>
        <w:t>j</w:t>
      </w:r>
      <w:r w:rsidR="00D67BE9" w:rsidRPr="00183EEC">
        <w:rPr>
          <w:rFonts w:cstheme="minorHAnsi"/>
          <w:szCs w:val="24"/>
          <w:shd w:val="clear" w:color="auto" w:fill="FFFFFF"/>
        </w:rPr>
        <w:t xml:space="preserve">smans, </w:t>
      </w:r>
      <w:r w:rsidRPr="00183EEC">
        <w:rPr>
          <w:rFonts w:cstheme="minorHAnsi"/>
          <w:szCs w:val="24"/>
          <w:shd w:val="clear" w:color="auto" w:fill="FFFFFF"/>
        </w:rPr>
        <w:t>‘</w:t>
      </w:r>
      <w:r w:rsidR="00D67BE9" w:rsidRPr="00183EEC">
        <w:rPr>
          <w:rFonts w:cstheme="minorHAnsi"/>
          <w:szCs w:val="24"/>
          <w:shd w:val="clear" w:color="auto" w:fill="FFFFFF"/>
        </w:rPr>
        <w:t xml:space="preserve"> </w:t>
      </w:r>
      <w:r w:rsidR="00D67BE9" w:rsidRPr="00A455F9">
        <w:rPr>
          <w:rFonts w:cstheme="minorHAnsi"/>
          <w:szCs w:val="24"/>
          <w:shd w:val="clear" w:color="auto" w:fill="FFFFFF"/>
        </w:rPr>
        <w:t>The European Union's fundamental rights myth</w:t>
      </w:r>
      <w:r w:rsidRPr="00183EEC">
        <w:rPr>
          <w:rStyle w:val="Hyperlink"/>
          <w:rFonts w:cstheme="minorHAnsi"/>
          <w:szCs w:val="24"/>
          <w:shd w:val="clear" w:color="auto" w:fill="FFFFFF"/>
        </w:rPr>
        <w:t>’</w:t>
      </w:r>
      <w:r w:rsidR="00D67BE9" w:rsidRPr="00183EEC">
        <w:rPr>
          <w:rFonts w:cstheme="minorHAnsi"/>
          <w:szCs w:val="24"/>
          <w:shd w:val="clear" w:color="auto" w:fill="FFFFFF"/>
        </w:rPr>
        <w:t xml:space="preserve"> </w:t>
      </w:r>
      <w:r w:rsidR="004E7609" w:rsidRPr="00183EEC">
        <w:rPr>
          <w:rFonts w:cstheme="minorHAnsi"/>
          <w:szCs w:val="24"/>
          <w:shd w:val="clear" w:color="auto" w:fill="FFFFFF"/>
        </w:rPr>
        <w:t xml:space="preserve">(2010) 48(1) </w:t>
      </w:r>
      <w:r w:rsidR="00D67BE9" w:rsidRPr="00183EEC">
        <w:rPr>
          <w:rFonts w:cstheme="minorHAnsi"/>
          <w:i/>
          <w:iCs/>
          <w:szCs w:val="24"/>
        </w:rPr>
        <w:t>JCMS: Journal of Common Market Studies</w:t>
      </w:r>
      <w:r w:rsidR="00D67BE9" w:rsidRPr="00183EEC">
        <w:rPr>
          <w:rFonts w:cstheme="minorHAnsi"/>
          <w:szCs w:val="24"/>
          <w:shd w:val="clear" w:color="auto" w:fill="FFFFFF"/>
        </w:rPr>
        <w:t>, 45-66, in particular section II-III-IV</w:t>
      </w:r>
      <w:r w:rsidR="00A66616">
        <w:rPr>
          <w:rFonts w:cstheme="minorHAnsi"/>
          <w:szCs w:val="24"/>
          <w:shd w:val="clear" w:color="auto" w:fill="FFFFFF"/>
        </w:rPr>
        <w:t>. R</w:t>
      </w:r>
      <w:r w:rsidR="00316B4F">
        <w:rPr>
          <w:rFonts w:cstheme="minorHAnsi"/>
          <w:szCs w:val="24"/>
          <w:shd w:val="clear" w:color="auto" w:fill="FFFFFF"/>
        </w:rPr>
        <w:t xml:space="preserve">ead </w:t>
      </w:r>
      <w:r w:rsidR="00D67BE9" w:rsidRPr="00316B4F">
        <w:rPr>
          <w:rFonts w:cstheme="minorHAnsi"/>
          <w:szCs w:val="24"/>
          <w:highlight w:val="yellow"/>
          <w:shd w:val="clear" w:color="auto" w:fill="FFFFFF"/>
        </w:rPr>
        <w:t>pp.47-59</w:t>
      </w:r>
      <w:r w:rsidR="00D67BE9" w:rsidRPr="00183EEC">
        <w:rPr>
          <w:rFonts w:cstheme="minorHAnsi"/>
          <w:szCs w:val="24"/>
          <w:shd w:val="clear" w:color="auto" w:fill="FFFFFF"/>
        </w:rPr>
        <w:t>) [12p</w:t>
      </w:r>
      <w:r w:rsidR="0036505A" w:rsidRPr="00183EEC">
        <w:rPr>
          <w:rFonts w:cstheme="minorHAnsi"/>
          <w:szCs w:val="24"/>
          <w:shd w:val="clear" w:color="auto" w:fill="FFFFFF"/>
        </w:rPr>
        <w:t>]</w:t>
      </w:r>
      <w:r w:rsidR="00FA04B0">
        <w:rPr>
          <w:rFonts w:cstheme="minorHAnsi"/>
          <w:szCs w:val="24"/>
          <w:shd w:val="clear" w:color="auto" w:fill="FFFFFF"/>
        </w:rPr>
        <w:t xml:space="preserve"> </w:t>
      </w:r>
      <w:r w:rsidR="00FA04B0">
        <w:rPr>
          <w:rFonts w:cstheme="minorHAnsi"/>
          <w:szCs w:val="24"/>
        </w:rPr>
        <w:t>[PERUSALL comments/discussion]</w:t>
      </w:r>
    </w:p>
    <w:p w14:paraId="7FD375AA" w14:textId="10B7D2CA" w:rsidR="00D67BE9" w:rsidRPr="00183EEC" w:rsidRDefault="00BA08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aramond" w:hAnsi="Garamond" w:cstheme="minorHAnsi"/>
        </w:rPr>
      </w:pPr>
      <w:r w:rsidRPr="00183EEC">
        <w:rPr>
          <w:rFonts w:ascii="Garamond" w:hAnsi="Garamond" w:cstheme="minorHAnsi"/>
          <w:iCs/>
        </w:rPr>
        <w:t>Case</w:t>
      </w:r>
      <w:r w:rsidRPr="00183EEC">
        <w:rPr>
          <w:rFonts w:ascii="Garamond" w:hAnsi="Garamond" w:cstheme="minorHAnsi"/>
          <w:i/>
        </w:rPr>
        <w:t xml:space="preserve"> </w:t>
      </w:r>
      <w:r w:rsidR="0036505A" w:rsidRPr="00183EEC">
        <w:rPr>
          <w:rFonts w:ascii="Garamond" w:hAnsi="Garamond" w:cstheme="minorHAnsi"/>
        </w:rPr>
        <w:t xml:space="preserve">29/69 </w:t>
      </w:r>
      <w:r w:rsidR="0036505A" w:rsidRPr="00183EEC">
        <w:rPr>
          <w:rFonts w:ascii="Garamond" w:hAnsi="Garamond" w:cstheme="minorHAnsi"/>
          <w:i/>
          <w:iCs/>
        </w:rPr>
        <w:t>Stauder v City of Ulm</w:t>
      </w:r>
      <w:r w:rsidR="0036505A" w:rsidRPr="00183EEC">
        <w:rPr>
          <w:rFonts w:ascii="Garamond" w:hAnsi="Garamond" w:cstheme="minorHAnsi"/>
        </w:rPr>
        <w:t xml:space="preserve"> [1969] ECLI: </w:t>
      </w:r>
      <w:r w:rsidR="0036505A" w:rsidRPr="00183EEC">
        <w:rPr>
          <w:rStyle w:val="st"/>
          <w:rFonts w:ascii="Garamond" w:hAnsi="Garamond" w:cstheme="minorHAnsi"/>
        </w:rPr>
        <w:t>EU:C:1969:57</w:t>
      </w:r>
      <w:r w:rsidR="00D71B31">
        <w:rPr>
          <w:rFonts w:ascii="Garamond" w:hAnsi="Garamond"/>
        </w:rPr>
        <w:t xml:space="preserve"> + video presentation</w:t>
      </w:r>
      <w:r w:rsidR="0036505A" w:rsidRPr="00183EEC">
        <w:rPr>
          <w:rFonts w:ascii="Garamond" w:hAnsi="Garamond"/>
        </w:rPr>
        <w:t xml:space="preserve"> </w:t>
      </w:r>
      <w:r w:rsidR="00112468">
        <w:rPr>
          <w:rFonts w:ascii="Garamond" w:hAnsi="Garamond"/>
        </w:rPr>
        <w:t>on Moodle</w:t>
      </w:r>
    </w:p>
    <w:p w14:paraId="0BECF8AC" w14:textId="77777777" w:rsidR="004B6498" w:rsidRPr="00651CFF" w:rsidRDefault="004B6498" w:rsidP="004B6498">
      <w:pPr>
        <w:pStyle w:val="NormalWeb"/>
        <w:spacing w:before="0" w:beforeAutospacing="0" w:after="0" w:afterAutospacing="0"/>
        <w:ind w:left="720"/>
        <w:rPr>
          <w:rFonts w:ascii="Garamond" w:hAnsi="Garamond" w:cstheme="minorHAnsi"/>
          <w:sz w:val="22"/>
          <w:szCs w:val="22"/>
        </w:rPr>
      </w:pPr>
    </w:p>
    <w:p w14:paraId="2700E255" w14:textId="2CAF5827" w:rsidR="002F28D7" w:rsidRPr="00651CFF" w:rsidRDefault="005C6A1D" w:rsidP="004B649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3-4</w:t>
      </w:r>
      <w:r w:rsidR="002F28D7" w:rsidRPr="00651CFF">
        <w:rPr>
          <w:shd w:val="clear" w:color="auto" w:fill="FFFFFF"/>
        </w:rPr>
        <w:t xml:space="preserve">. </w:t>
      </w:r>
      <w:r w:rsidR="0098108B">
        <w:rPr>
          <w:shd w:val="clear" w:color="auto" w:fill="FFFFFF"/>
        </w:rPr>
        <w:t>Comparing p</w:t>
      </w:r>
      <w:r w:rsidR="00980B0C">
        <w:rPr>
          <w:shd w:val="clear" w:color="auto" w:fill="FFFFFF"/>
        </w:rPr>
        <w:t>erspective</w:t>
      </w:r>
      <w:r w:rsidR="0098108B">
        <w:rPr>
          <w:shd w:val="clear" w:color="auto" w:fill="FFFFFF"/>
        </w:rPr>
        <w:t>s</w:t>
      </w:r>
      <w:r w:rsidR="00980B0C">
        <w:rPr>
          <w:shd w:val="clear" w:color="auto" w:fill="FFFFFF"/>
        </w:rPr>
        <w:t xml:space="preserve"> on EU fundamental rights:</w:t>
      </w:r>
      <w:r w:rsidR="003475F8">
        <w:rPr>
          <w:shd w:val="clear" w:color="auto" w:fill="FFFFFF"/>
        </w:rPr>
        <w:t xml:space="preserve"> from law to</w:t>
      </w:r>
      <w:r w:rsidR="00980B0C">
        <w:rPr>
          <w:shd w:val="clear" w:color="auto" w:fill="FFFFFF"/>
        </w:rPr>
        <w:t xml:space="preserve"> policies and</w:t>
      </w:r>
      <w:r w:rsidR="003475F8">
        <w:rPr>
          <w:shd w:val="clear" w:color="auto" w:fill="FFFFFF"/>
        </w:rPr>
        <w:t xml:space="preserve"> governance</w:t>
      </w:r>
      <w:r w:rsidR="00BE195F">
        <w:rPr>
          <w:shd w:val="clear" w:color="auto" w:fill="FFFFFF"/>
        </w:rPr>
        <w:t xml:space="preserve"> </w:t>
      </w:r>
    </w:p>
    <w:p w14:paraId="1276BB62" w14:textId="6BFD46CB" w:rsidR="00D92103" w:rsidRDefault="009C667C" w:rsidP="009C667C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Legal scholars and public policy/political </w:t>
      </w:r>
      <w:r w:rsidR="00A455F9">
        <w:rPr>
          <w:rFonts w:cstheme="minorHAnsi"/>
          <w:shd w:val="clear" w:color="auto" w:fill="FFFFFF"/>
        </w:rPr>
        <w:t xml:space="preserve">sciences </w:t>
      </w:r>
      <w:r>
        <w:rPr>
          <w:rFonts w:cstheme="minorHAnsi"/>
          <w:shd w:val="clear" w:color="auto" w:fill="FFFFFF"/>
        </w:rPr>
        <w:t xml:space="preserve">scholars approach EU fundamental/human rights through different </w:t>
      </w:r>
      <w:r w:rsidR="00112468">
        <w:rPr>
          <w:rFonts w:cstheme="minorHAnsi"/>
          <w:shd w:val="clear" w:color="auto" w:fill="FFFFFF"/>
        </w:rPr>
        <w:t xml:space="preserve">analytical </w:t>
      </w:r>
      <w:r>
        <w:rPr>
          <w:rFonts w:cstheme="minorHAnsi"/>
          <w:shd w:val="clear" w:color="auto" w:fill="FFFFFF"/>
        </w:rPr>
        <w:t xml:space="preserve">lenses. </w:t>
      </w:r>
      <w:r w:rsidR="002C651F">
        <w:rPr>
          <w:rFonts w:cstheme="minorHAnsi"/>
          <w:shd w:val="clear" w:color="auto" w:fill="FFFFFF"/>
        </w:rPr>
        <w:t xml:space="preserve">There is however </w:t>
      </w:r>
      <w:r w:rsidR="00FC0BA2">
        <w:rPr>
          <w:rFonts w:cstheme="minorHAnsi"/>
          <w:shd w:val="clear" w:color="auto" w:fill="FFFFFF"/>
        </w:rPr>
        <w:t>common ground.</w:t>
      </w:r>
      <w:r w:rsidR="002C651F">
        <w:rPr>
          <w:rFonts w:cstheme="minorHAnsi"/>
          <w:shd w:val="clear" w:color="auto" w:fill="FFFFFF"/>
        </w:rPr>
        <w:t xml:space="preserve"> and a lot can be learned from </w:t>
      </w:r>
      <w:r w:rsidR="002C651F">
        <w:rPr>
          <w:rFonts w:cstheme="minorHAnsi"/>
          <w:shd w:val="clear" w:color="auto" w:fill="FFFFFF"/>
        </w:rPr>
        <w:lastRenderedPageBreak/>
        <w:t>interdisciplinary engagement.</w:t>
      </w:r>
    </w:p>
    <w:p w14:paraId="7F00D54F" w14:textId="0152A3C4" w:rsidR="009C667C" w:rsidRDefault="0098108B" w:rsidP="009C667C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Discussion questions: </w:t>
      </w:r>
      <w:r w:rsidR="008D2643">
        <w:rPr>
          <w:rFonts w:cstheme="minorHAnsi"/>
          <w:shd w:val="clear" w:color="auto" w:fill="FFFFFF"/>
        </w:rPr>
        <w:t xml:space="preserve">What kind of questions do </w:t>
      </w:r>
      <w:r w:rsidR="008B0A32">
        <w:rPr>
          <w:rFonts w:cstheme="minorHAnsi"/>
          <w:shd w:val="clear" w:color="auto" w:fill="FFFFFF"/>
        </w:rPr>
        <w:t>scholars from different disciplins</w:t>
      </w:r>
      <w:r w:rsidR="008D2643">
        <w:rPr>
          <w:rFonts w:cstheme="minorHAnsi"/>
          <w:shd w:val="clear" w:color="auto" w:fill="FFFFFF"/>
        </w:rPr>
        <w:t xml:space="preserve"> ask about human rights and the EU?</w:t>
      </w:r>
      <w:r w:rsidR="009C667C">
        <w:rPr>
          <w:rFonts w:cstheme="minorHAnsi"/>
          <w:shd w:val="clear" w:color="auto" w:fill="FFFFFF"/>
        </w:rPr>
        <w:t xml:space="preserve"> </w:t>
      </w:r>
      <w:r w:rsidR="008D2643">
        <w:rPr>
          <w:rFonts w:cstheme="minorHAnsi"/>
          <w:shd w:val="clear" w:color="auto" w:fill="FFFFFF"/>
        </w:rPr>
        <w:t>What</w:t>
      </w:r>
      <w:r w:rsidR="00D92103">
        <w:rPr>
          <w:rFonts w:cstheme="minorHAnsi"/>
          <w:shd w:val="clear" w:color="auto" w:fill="FFFFFF"/>
        </w:rPr>
        <w:t xml:space="preserve"> concepts, theories, methods</w:t>
      </w:r>
      <w:r w:rsidR="008D2643">
        <w:rPr>
          <w:rFonts w:cstheme="minorHAnsi"/>
          <w:shd w:val="clear" w:color="auto" w:fill="FFFFFF"/>
        </w:rPr>
        <w:t xml:space="preserve"> do they use</w:t>
      </w:r>
      <w:r w:rsidR="00D92103">
        <w:rPr>
          <w:rFonts w:cstheme="minorHAnsi"/>
          <w:shd w:val="clear" w:color="auto" w:fill="FFFFFF"/>
        </w:rPr>
        <w:t xml:space="preserve">? </w:t>
      </w:r>
      <w:r w:rsidR="009C667C">
        <w:rPr>
          <w:rFonts w:cstheme="minorHAnsi"/>
          <w:shd w:val="clear" w:color="auto" w:fill="FFFFFF"/>
        </w:rPr>
        <w:t xml:space="preserve">Do </w:t>
      </w:r>
      <w:r w:rsidR="008D2643">
        <w:rPr>
          <w:rFonts w:cstheme="minorHAnsi"/>
          <w:shd w:val="clear" w:color="auto" w:fill="FFFFFF"/>
        </w:rPr>
        <w:t xml:space="preserve">they </w:t>
      </w:r>
      <w:r w:rsidR="008B0A32">
        <w:rPr>
          <w:rFonts w:cstheme="minorHAnsi"/>
          <w:shd w:val="clear" w:color="auto" w:fill="FFFFFF"/>
        </w:rPr>
        <w:t xml:space="preserve">all focus on </w:t>
      </w:r>
      <w:r w:rsidR="00F812B8">
        <w:rPr>
          <w:rFonts w:cstheme="minorHAnsi"/>
          <w:shd w:val="clear" w:color="auto" w:fill="FFFFFF"/>
        </w:rPr>
        <w:t>the same</w:t>
      </w:r>
      <w:r w:rsidR="00CD7F55">
        <w:rPr>
          <w:rFonts w:cstheme="minorHAnsi"/>
          <w:shd w:val="clear" w:color="auto" w:fill="FFFFFF"/>
        </w:rPr>
        <w:t xml:space="preserve"> </w:t>
      </w:r>
      <w:r w:rsidR="009C667C">
        <w:rPr>
          <w:rFonts w:cstheme="minorHAnsi"/>
          <w:shd w:val="clear" w:color="auto" w:fill="FFFFFF"/>
        </w:rPr>
        <w:t xml:space="preserve">issues, </w:t>
      </w:r>
      <w:r w:rsidR="008D2643">
        <w:rPr>
          <w:rFonts w:cstheme="minorHAnsi"/>
          <w:shd w:val="clear" w:color="auto" w:fill="FFFFFF"/>
        </w:rPr>
        <w:t xml:space="preserve">policy </w:t>
      </w:r>
      <w:r w:rsidR="009C667C">
        <w:rPr>
          <w:rFonts w:cstheme="minorHAnsi"/>
          <w:shd w:val="clear" w:color="auto" w:fill="FFFFFF"/>
        </w:rPr>
        <w:t xml:space="preserve">areas, or actors? </w:t>
      </w:r>
    </w:p>
    <w:p w14:paraId="74B09806" w14:textId="38F67E7B" w:rsidR="00E67EF7" w:rsidRPr="00651CFF" w:rsidRDefault="00EA409E" w:rsidP="009C667C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Class e</w:t>
      </w:r>
      <w:r w:rsidR="00E67EF7">
        <w:rPr>
          <w:rFonts w:cstheme="minorHAnsi"/>
          <w:shd w:val="clear" w:color="auto" w:fill="FFFFFF"/>
        </w:rPr>
        <w:t xml:space="preserve">xercise: mapping out the ‘actors’ of EU human rights </w:t>
      </w:r>
      <w:r w:rsidR="00B56214">
        <w:rPr>
          <w:rFonts w:cstheme="minorHAnsi"/>
          <w:shd w:val="clear" w:color="auto" w:fill="FFFFFF"/>
        </w:rPr>
        <w:t>governance.</w:t>
      </w:r>
    </w:p>
    <w:p w14:paraId="46F3C173" w14:textId="68320DC8" w:rsidR="002B0E1C" w:rsidRPr="00651CFF" w:rsidRDefault="002B0E1C" w:rsidP="00350A80">
      <w:pPr>
        <w:pStyle w:val="Heading3"/>
        <w:rPr>
          <w:shd w:val="clear" w:color="auto" w:fill="FFFFFF"/>
        </w:rPr>
      </w:pPr>
      <w:r w:rsidRPr="00651CFF">
        <w:rPr>
          <w:shd w:val="clear" w:color="auto" w:fill="FFFFFF"/>
        </w:rPr>
        <w:t>Mandatory reading</w:t>
      </w:r>
    </w:p>
    <w:p w14:paraId="00B92C09" w14:textId="77777777" w:rsidR="00D00C2B" w:rsidRPr="00716BEB" w:rsidRDefault="00D00C2B" w:rsidP="00D00C2B">
      <w:pPr>
        <w:ind w:left="360"/>
        <w:rPr>
          <w:szCs w:val="24"/>
        </w:rPr>
      </w:pPr>
    </w:p>
    <w:p w14:paraId="5ADB0A8B" w14:textId="77777777" w:rsidR="00D00C2B" w:rsidRPr="00D00C2B" w:rsidRDefault="00D00C2B">
      <w:pPr>
        <w:pStyle w:val="ListParagraph"/>
        <w:numPr>
          <w:ilvl w:val="0"/>
          <w:numId w:val="28"/>
        </w:numPr>
      </w:pPr>
      <w:r w:rsidRPr="00D00C2B">
        <w:t xml:space="preserve">P. Craig and G De Burca </w:t>
      </w:r>
      <w:r w:rsidRPr="00895C19">
        <w:rPr>
          <w:i/>
          <w:iCs/>
        </w:rPr>
        <w:t>European Union Law: Texts, Cases and Materials</w:t>
      </w:r>
      <w:r w:rsidRPr="00D00C2B">
        <w:t xml:space="preserve"> (OUP, 2020), chapter 12 ’Human Rights in the EU. Read only section 1 ’Central issues’, 414-415 [2p]</w:t>
      </w:r>
    </w:p>
    <w:p w14:paraId="50093BE5" w14:textId="2B73D660" w:rsidR="002B0E1C" w:rsidRPr="00D00C2B" w:rsidRDefault="002B0E1C">
      <w:pPr>
        <w:pStyle w:val="ListParagraph"/>
        <w:numPr>
          <w:ilvl w:val="0"/>
          <w:numId w:val="28"/>
        </w:numPr>
      </w:pPr>
      <w:r w:rsidRPr="00D00C2B">
        <w:t xml:space="preserve">M. Dawson, </w:t>
      </w:r>
      <w:r w:rsidRPr="00895C19">
        <w:rPr>
          <w:i/>
          <w:iCs/>
        </w:rPr>
        <w:t>The governance of EU fundamental rights</w:t>
      </w:r>
      <w:r w:rsidRPr="00D00C2B">
        <w:t>. (Cambridge University Press, 2017), chapter 1</w:t>
      </w:r>
      <w:r w:rsidR="003944FD" w:rsidRPr="00D00C2B">
        <w:t xml:space="preserve"> ‘Conceptualising and justifying EU fundamental rights’</w:t>
      </w:r>
      <w:r w:rsidR="009664C4" w:rsidRPr="00D00C2B">
        <w:t>, 18-36 [28 p]</w:t>
      </w:r>
      <w:r w:rsidR="003944FD" w:rsidRPr="00D00C2B">
        <w:t xml:space="preserve"> </w:t>
      </w:r>
    </w:p>
    <w:p w14:paraId="1B41861B" w14:textId="4DC61486" w:rsidR="000C41EF" w:rsidRPr="00D00C2B" w:rsidRDefault="0040267D">
      <w:pPr>
        <w:pStyle w:val="ListParagraph"/>
        <w:numPr>
          <w:ilvl w:val="0"/>
          <w:numId w:val="28"/>
        </w:numPr>
      </w:pPr>
      <w:r w:rsidRPr="00895C19">
        <w:rPr>
          <w:lang w:val="de-AT"/>
        </w:rPr>
        <w:t xml:space="preserve">P. </w:t>
      </w:r>
      <w:r w:rsidR="000C41EF" w:rsidRPr="00895C19">
        <w:rPr>
          <w:lang w:val="de-AT"/>
        </w:rPr>
        <w:t>Ahrens, B</w:t>
      </w:r>
      <w:r w:rsidRPr="00895C19">
        <w:rPr>
          <w:lang w:val="de-AT"/>
        </w:rPr>
        <w:t>.</w:t>
      </w:r>
      <w:r w:rsidR="000C41EF" w:rsidRPr="00895C19">
        <w:rPr>
          <w:lang w:val="de-AT"/>
        </w:rPr>
        <w:t xml:space="preserve"> Gaweda, and J</w:t>
      </w:r>
      <w:r w:rsidRPr="00895C19">
        <w:rPr>
          <w:lang w:val="de-AT"/>
        </w:rPr>
        <w:t>.</w:t>
      </w:r>
      <w:r w:rsidR="000C41EF" w:rsidRPr="00895C19">
        <w:rPr>
          <w:lang w:val="de-AT"/>
        </w:rPr>
        <w:t xml:space="preserve"> Kantola. </w:t>
      </w:r>
      <w:r w:rsidR="00D00C2B" w:rsidRPr="00D00C2B">
        <w:t>‘</w:t>
      </w:r>
      <w:r w:rsidR="000C41EF" w:rsidRPr="00D00C2B">
        <w:t>Reframing the language of human rights? Political group contestations on women’s and LGBTQI rights in European Parliament debates.</w:t>
      </w:r>
      <w:r w:rsidR="00D00C2B" w:rsidRPr="00D00C2B">
        <w:t>’</w:t>
      </w:r>
      <w:r w:rsidR="00895C19" w:rsidRPr="00895C19">
        <w:t xml:space="preserve"> </w:t>
      </w:r>
      <w:r w:rsidR="00895C19" w:rsidRPr="00D00C2B">
        <w:t xml:space="preserve">(2022) </w:t>
      </w:r>
      <w:r w:rsidR="000C41EF" w:rsidRPr="00D00C2B">
        <w:t xml:space="preserve"> </w:t>
      </w:r>
      <w:r w:rsidR="00895C19" w:rsidRPr="00D00C2B">
        <w:t xml:space="preserve">44.6 </w:t>
      </w:r>
      <w:r w:rsidR="000C41EF" w:rsidRPr="00895C19">
        <w:rPr>
          <w:i/>
          <w:iCs/>
        </w:rPr>
        <w:t>Journal of European Integration</w:t>
      </w:r>
      <w:r w:rsidR="000C41EF" w:rsidRPr="00D00C2B">
        <w:t xml:space="preserve"> </w:t>
      </w:r>
      <w:r w:rsidR="00895C19">
        <w:t>[</w:t>
      </w:r>
      <w:r w:rsidR="000C41EF" w:rsidRPr="00D00C2B">
        <w:t>803-819</w:t>
      </w:r>
      <w:r w:rsidR="00895C19">
        <w:t>]</w:t>
      </w:r>
      <w:r w:rsidR="000C41EF" w:rsidRPr="00D00C2B">
        <w:t xml:space="preserve"> [read </w:t>
      </w:r>
      <w:r w:rsidR="007A6411" w:rsidRPr="00D00C2B">
        <w:t>ab</w:t>
      </w:r>
      <w:r w:rsidR="00AA4B0E" w:rsidRPr="00D00C2B">
        <w:t xml:space="preserve">stract, introduction, and section on </w:t>
      </w:r>
      <w:r w:rsidR="00716BEB" w:rsidRPr="00D00C2B">
        <w:t>‘</w:t>
      </w:r>
      <w:r w:rsidR="00AA4B0E" w:rsidRPr="00D00C2B">
        <w:t xml:space="preserve">qualitative </w:t>
      </w:r>
      <w:r w:rsidR="00716BEB" w:rsidRPr="00D00C2B">
        <w:t>analysis’</w:t>
      </w:r>
    </w:p>
    <w:p w14:paraId="3333E683" w14:textId="0136772F" w:rsidR="00A43BA4" w:rsidRPr="00651CFF" w:rsidRDefault="00A43BA4" w:rsidP="00F65966">
      <w:pPr>
        <w:pStyle w:val="ListParagraph"/>
        <w:spacing w:line="240" w:lineRule="auto"/>
      </w:pPr>
    </w:p>
    <w:p w14:paraId="18B19ED2" w14:textId="68F63FC0" w:rsidR="009C667C" w:rsidRPr="004C5AD5" w:rsidRDefault="00BB0AC5" w:rsidP="0076264D">
      <w:pPr>
        <w:pStyle w:val="Heading2"/>
      </w:pPr>
      <w:r w:rsidRPr="004C5AD5">
        <w:rPr>
          <w:shd w:val="clear" w:color="auto" w:fill="FFFFFF"/>
        </w:rPr>
        <w:t>5-6</w:t>
      </w:r>
      <w:r w:rsidR="00D82A01" w:rsidRPr="004C5AD5">
        <w:rPr>
          <w:shd w:val="clear" w:color="auto" w:fill="FFFFFF"/>
        </w:rPr>
        <w:t>.</w:t>
      </w:r>
      <w:r w:rsidR="00D67BE9" w:rsidRPr="004C5AD5">
        <w:rPr>
          <w:shd w:val="clear" w:color="auto" w:fill="FFFFFF"/>
        </w:rPr>
        <w:t xml:space="preserve"> </w:t>
      </w:r>
      <w:r w:rsidR="002509E5" w:rsidRPr="004C5AD5">
        <w:rPr>
          <w:rFonts w:cs="Cambria"/>
          <w:color w:val="000000"/>
        </w:rPr>
        <w:t xml:space="preserve"> </w:t>
      </w:r>
      <w:r w:rsidR="00C52664" w:rsidRPr="004C5AD5">
        <w:t>General principles [</w:t>
      </w:r>
      <w:r w:rsidR="0084354E">
        <w:t>rule of law</w:t>
      </w:r>
      <w:r w:rsidR="00C52664" w:rsidRPr="004C5AD5">
        <w:t xml:space="preserve">] </w:t>
      </w:r>
      <w:r w:rsidR="004D07CC" w:rsidRPr="004C5AD5">
        <w:t xml:space="preserve"> </w:t>
      </w:r>
    </w:p>
    <w:p w14:paraId="3E595476" w14:textId="77777777" w:rsidR="00692743" w:rsidRDefault="003A2D61" w:rsidP="00721F87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</w:rPr>
      </w:pPr>
      <w:r>
        <w:rPr>
          <w:rFonts w:cstheme="minorHAnsi"/>
        </w:rPr>
        <w:t xml:space="preserve">The protection of fundamental rights came (back) into the </w:t>
      </w:r>
      <w:r w:rsidR="00A113A6">
        <w:rPr>
          <w:rFonts w:cstheme="minorHAnsi"/>
        </w:rPr>
        <w:t xml:space="preserve">European Economic Community </w:t>
      </w:r>
      <w:r w:rsidR="00E26B17">
        <w:rPr>
          <w:rFonts w:cstheme="minorHAnsi"/>
        </w:rPr>
        <w:t xml:space="preserve">in the late 1960s </w:t>
      </w:r>
      <w:r w:rsidR="004C5AD5">
        <w:rPr>
          <w:rFonts w:cstheme="minorHAnsi"/>
        </w:rPr>
        <w:t>via</w:t>
      </w:r>
      <w:r w:rsidR="00A113A6">
        <w:rPr>
          <w:rFonts w:cstheme="minorHAnsi"/>
        </w:rPr>
        <w:t xml:space="preserve"> judge-made </w:t>
      </w:r>
      <w:r w:rsidR="002E4421">
        <w:rPr>
          <w:rFonts w:cstheme="minorHAnsi"/>
        </w:rPr>
        <w:t>‘</w:t>
      </w:r>
      <w:r w:rsidR="00A113A6">
        <w:rPr>
          <w:rFonts w:cstheme="minorHAnsi"/>
        </w:rPr>
        <w:t>general principles</w:t>
      </w:r>
      <w:r w:rsidR="002E4421">
        <w:rPr>
          <w:rFonts w:cstheme="minorHAnsi"/>
        </w:rPr>
        <w:t>’</w:t>
      </w:r>
      <w:r w:rsidR="00A113A6">
        <w:rPr>
          <w:rFonts w:cstheme="minorHAnsi"/>
        </w:rPr>
        <w:t xml:space="preserve"> </w:t>
      </w:r>
      <w:r w:rsidR="00C26756">
        <w:rPr>
          <w:rFonts w:cstheme="minorHAnsi"/>
        </w:rPr>
        <w:t>inspired by international and European (human rights) instruments and national constitutional traditions</w:t>
      </w:r>
      <w:r w:rsidR="005254F4">
        <w:rPr>
          <w:rFonts w:cstheme="minorHAnsi"/>
        </w:rPr>
        <w:t>, hence their historical signifi</w:t>
      </w:r>
      <w:r w:rsidR="009B7F8A">
        <w:rPr>
          <w:rFonts w:cstheme="minorHAnsi"/>
        </w:rPr>
        <w:t xml:space="preserve">cance. </w:t>
      </w:r>
    </w:p>
    <w:p w14:paraId="77DF6761" w14:textId="60BD4B56" w:rsidR="003A2D61" w:rsidRPr="003A2D61" w:rsidRDefault="00692743" w:rsidP="00721F87">
      <w:pPr>
        <w:widowControl w:val="0"/>
        <w:autoSpaceDE w:val="0"/>
        <w:autoSpaceDN w:val="0"/>
        <w:adjustRightInd w:val="0"/>
        <w:spacing w:before="47" w:line="240" w:lineRule="auto"/>
        <w:rPr>
          <w:rFonts w:cstheme="minorHAnsi"/>
        </w:rPr>
      </w:pPr>
      <w:r>
        <w:rPr>
          <w:rFonts w:cstheme="minorHAnsi"/>
        </w:rPr>
        <w:t xml:space="preserve">Question for discussion: </w:t>
      </w:r>
      <w:r w:rsidR="005254F4">
        <w:rPr>
          <w:rFonts w:cstheme="minorHAnsi"/>
        </w:rPr>
        <w:t>Now that the EU has its own Bill of Rights</w:t>
      </w:r>
      <w:r w:rsidR="009B7F8A">
        <w:rPr>
          <w:rFonts w:cstheme="minorHAnsi"/>
        </w:rPr>
        <w:t xml:space="preserve"> (</w:t>
      </w:r>
      <w:r w:rsidR="00E26B17">
        <w:rPr>
          <w:rFonts w:cstheme="minorHAnsi"/>
        </w:rPr>
        <w:t xml:space="preserve">the </w:t>
      </w:r>
      <w:r w:rsidR="009B7F8A">
        <w:rPr>
          <w:rFonts w:cstheme="minorHAnsi"/>
        </w:rPr>
        <w:t>EU Charter</w:t>
      </w:r>
      <w:r w:rsidR="00E26B17">
        <w:rPr>
          <w:rFonts w:cstheme="minorHAnsi"/>
        </w:rPr>
        <w:t xml:space="preserve"> of Fundamental Rights</w:t>
      </w:r>
      <w:r w:rsidR="009B7F8A">
        <w:rPr>
          <w:rFonts w:cstheme="minorHAnsi"/>
        </w:rPr>
        <w:t xml:space="preserve">), </w:t>
      </w:r>
      <w:r w:rsidR="0082149A">
        <w:rPr>
          <w:rFonts w:cstheme="minorHAnsi"/>
        </w:rPr>
        <w:t xml:space="preserve">what use does we </w:t>
      </w:r>
      <w:r w:rsidR="002E4421">
        <w:rPr>
          <w:rFonts w:cstheme="minorHAnsi"/>
        </w:rPr>
        <w:t xml:space="preserve">still </w:t>
      </w:r>
      <w:r w:rsidR="0082149A">
        <w:rPr>
          <w:rFonts w:cstheme="minorHAnsi"/>
        </w:rPr>
        <w:t>have for</w:t>
      </w:r>
      <w:r w:rsidR="00C26756">
        <w:rPr>
          <w:rFonts w:cstheme="minorHAnsi"/>
        </w:rPr>
        <w:t xml:space="preserve"> </w:t>
      </w:r>
      <w:r w:rsidR="009B7F8A">
        <w:rPr>
          <w:rFonts w:cstheme="minorHAnsi"/>
        </w:rPr>
        <w:t>general principles</w:t>
      </w:r>
      <w:r w:rsidR="0082149A">
        <w:rPr>
          <w:rFonts w:cstheme="minorHAnsi"/>
        </w:rPr>
        <w:t xml:space="preserve"> for the protection of fundamental rights</w:t>
      </w:r>
      <w:r w:rsidR="00C26756">
        <w:rPr>
          <w:rFonts w:cstheme="minorHAnsi"/>
        </w:rPr>
        <w:t>?</w:t>
      </w:r>
    </w:p>
    <w:p w14:paraId="152850FD" w14:textId="77777777" w:rsidR="00C52664" w:rsidRPr="00D00B1F" w:rsidRDefault="00C52664" w:rsidP="00350A80">
      <w:pPr>
        <w:pStyle w:val="Heading3"/>
      </w:pPr>
      <w:r w:rsidRPr="00D00B1F">
        <w:t>Mandatory reading</w:t>
      </w:r>
    </w:p>
    <w:p w14:paraId="3988B9DF" w14:textId="44993357" w:rsidR="00DC344D" w:rsidRDefault="00E21B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D00B1F">
        <w:rPr>
          <w:rFonts w:cstheme="minorHAnsi"/>
        </w:rPr>
        <w:t xml:space="preserve">P. </w:t>
      </w:r>
      <w:r w:rsidR="00C65D56" w:rsidRPr="00D00B1F">
        <w:rPr>
          <w:rFonts w:cstheme="minorHAnsi"/>
        </w:rPr>
        <w:t>Craig and G. De Burca</w:t>
      </w:r>
      <w:r w:rsidR="00975CEB" w:rsidRPr="00D00B1F">
        <w:rPr>
          <w:rFonts w:cstheme="minorHAnsi"/>
        </w:rPr>
        <w:t xml:space="preserve">, </w:t>
      </w:r>
      <w:r w:rsidR="00975CEB" w:rsidRPr="00D00B1F">
        <w:rPr>
          <w:rFonts w:cstheme="minorHAnsi"/>
          <w:i/>
          <w:iCs/>
        </w:rPr>
        <w:t xml:space="preserve">EU law: </w:t>
      </w:r>
      <w:r w:rsidR="002D33EA" w:rsidRPr="00D00B1F">
        <w:rPr>
          <w:rFonts w:cstheme="minorHAnsi"/>
          <w:i/>
          <w:iCs/>
        </w:rPr>
        <w:t>T</w:t>
      </w:r>
      <w:r w:rsidR="00975CEB" w:rsidRPr="00D00B1F">
        <w:rPr>
          <w:rFonts w:cstheme="minorHAnsi"/>
          <w:i/>
          <w:iCs/>
        </w:rPr>
        <w:t>exts, Cases and Materials</w:t>
      </w:r>
      <w:r w:rsidR="00975CEB" w:rsidRPr="00D00B1F">
        <w:rPr>
          <w:rFonts w:cstheme="minorHAnsi"/>
        </w:rPr>
        <w:t xml:space="preserve"> (</w:t>
      </w:r>
      <w:r w:rsidR="002D33EA" w:rsidRPr="00D00B1F">
        <w:rPr>
          <w:rFonts w:cstheme="minorHAnsi"/>
        </w:rPr>
        <w:t>OUP, 2020), Ch. 12</w:t>
      </w:r>
      <w:r w:rsidR="002E4421">
        <w:rPr>
          <w:rFonts w:cstheme="minorHAnsi"/>
        </w:rPr>
        <w:t>. Read</w:t>
      </w:r>
      <w:r w:rsidR="002D33EA" w:rsidRPr="00D00B1F">
        <w:rPr>
          <w:rFonts w:cstheme="minorHAnsi"/>
        </w:rPr>
        <w:t xml:space="preserve"> p. </w:t>
      </w:r>
      <w:r w:rsidR="002D33EA" w:rsidRPr="00316B4F">
        <w:rPr>
          <w:rFonts w:cstheme="minorHAnsi"/>
          <w:highlight w:val="yellow"/>
        </w:rPr>
        <w:t>41</w:t>
      </w:r>
      <w:r w:rsidR="00884F34" w:rsidRPr="00316B4F">
        <w:rPr>
          <w:rFonts w:cstheme="minorHAnsi"/>
          <w:highlight w:val="yellow"/>
        </w:rPr>
        <w:t>7</w:t>
      </w:r>
      <w:r w:rsidR="002D33EA" w:rsidRPr="00316B4F">
        <w:rPr>
          <w:rFonts w:cstheme="minorHAnsi"/>
          <w:highlight w:val="yellow"/>
        </w:rPr>
        <w:t>-423</w:t>
      </w:r>
      <w:r w:rsidR="00884F34" w:rsidRPr="00D00B1F">
        <w:rPr>
          <w:rFonts w:cstheme="minorHAnsi"/>
        </w:rPr>
        <w:t xml:space="preserve"> [6p]</w:t>
      </w:r>
    </w:p>
    <w:p w14:paraId="445358E9" w14:textId="164DA923" w:rsidR="0084354E" w:rsidRPr="0009167E" w:rsidRDefault="0084354E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9A27A7">
        <w:t>X. Groussot, and J. Lindholm, ‘ General Principles: Taking Rights Seriously and Waving the Rule-of-Law Stick in the European Union (March 28, 2019). In K. Ziegler et al</w:t>
      </w:r>
      <w:r>
        <w:t xml:space="preserve"> (eds)</w:t>
      </w:r>
      <w:r w:rsidRPr="009A27A7">
        <w:t xml:space="preserve"> </w:t>
      </w:r>
      <w:r w:rsidRPr="009A27A7">
        <w:rPr>
          <w:i/>
          <w:iCs/>
        </w:rPr>
        <w:t>Research Handbook on General Principles of EU Law: Constructing Legal Orders in Europe,</w:t>
      </w:r>
      <w:r w:rsidRPr="009A27A7">
        <w:t xml:space="preserve"> </w:t>
      </w:r>
      <w:r>
        <w:t>(</w:t>
      </w:r>
      <w:r w:rsidRPr="009A27A7">
        <w:t>Edward Elgar,</w:t>
      </w:r>
      <w:r>
        <w:t xml:space="preserve"> 2022), pp. 308-326, read p. 310-325 [15p]</w:t>
      </w:r>
      <w:r w:rsidRPr="001D6791">
        <w:t xml:space="preserve"> </w:t>
      </w:r>
      <w:hyperlink r:id="rId24" w:history="1">
        <w:r w:rsidRPr="00AC1BB1">
          <w:rPr>
            <w:rStyle w:val="Hyperlink"/>
          </w:rPr>
          <w:t>https://www.elgaronline.com/display/edcoll/9781784712372/9781784712372.00026.xml</w:t>
        </w:r>
      </w:hyperlink>
      <w:r>
        <w:t xml:space="preserve"> </w:t>
      </w:r>
    </w:p>
    <w:p w14:paraId="12E4B9B6" w14:textId="3CEC7D4D" w:rsidR="00C52664" w:rsidRPr="00D00B1F" w:rsidRDefault="009C01F4" w:rsidP="00350A80">
      <w:pPr>
        <w:pStyle w:val="Heading3"/>
        <w:rPr>
          <w:lang w:val="hu-HU" w:eastAsia="hu-HU"/>
        </w:rPr>
      </w:pPr>
      <w:r w:rsidRPr="00D00B1F">
        <w:t>Mandatory cases (</w:t>
      </w:r>
      <w:r w:rsidR="00D954CA">
        <w:t xml:space="preserve">read </w:t>
      </w:r>
      <w:r w:rsidRPr="00D00B1F">
        <w:t>extracts</w:t>
      </w:r>
      <w:r w:rsidR="00D954CA">
        <w:t xml:space="preserve"> in Craig &amp; De Burca</w:t>
      </w:r>
      <w:r w:rsidRPr="00D00B1F">
        <w:t>)</w:t>
      </w:r>
    </w:p>
    <w:p w14:paraId="6BB547B1" w14:textId="55E053A3" w:rsidR="00C52664" w:rsidRPr="00651CFF" w:rsidRDefault="00C52664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651CFF">
        <w:rPr>
          <w:rFonts w:cstheme="minorHAnsi"/>
        </w:rPr>
        <w:t>Case 4/73</w:t>
      </w:r>
      <w:r w:rsidRPr="00651CFF">
        <w:rPr>
          <w:rFonts w:cstheme="minorHAnsi"/>
          <w:i/>
          <w:iCs/>
        </w:rPr>
        <w:t xml:space="preserve"> Nold</w:t>
      </w:r>
      <w:r w:rsidRPr="00651CFF">
        <w:rPr>
          <w:rFonts w:cstheme="minorHAnsi"/>
        </w:rPr>
        <w:t xml:space="preserve"> [1974] </w:t>
      </w:r>
      <w:r w:rsidRPr="00651CFF">
        <w:rPr>
          <w:rStyle w:val="st"/>
          <w:rFonts w:cstheme="minorHAnsi"/>
        </w:rPr>
        <w:t>EU:C:1974:51</w:t>
      </w:r>
      <w:r w:rsidRPr="00651CFF">
        <w:rPr>
          <w:rFonts w:cstheme="minorHAnsi"/>
        </w:rPr>
        <w:t xml:space="preserve"> </w:t>
      </w:r>
    </w:p>
    <w:p w14:paraId="248C4392" w14:textId="1C326F30" w:rsidR="00C52664" w:rsidRPr="00651CFF" w:rsidRDefault="00C52664">
      <w:pPr>
        <w:pStyle w:val="ListParagraph"/>
        <w:numPr>
          <w:ilvl w:val="0"/>
          <w:numId w:val="5"/>
        </w:numPr>
        <w:spacing w:line="240" w:lineRule="auto"/>
        <w:rPr>
          <w:rStyle w:val="st"/>
          <w:rFonts w:cstheme="minorHAnsi"/>
          <w:lang w:val="fr-FR"/>
        </w:rPr>
      </w:pPr>
      <w:r w:rsidRPr="00651CFF">
        <w:rPr>
          <w:rFonts w:cstheme="minorHAnsi"/>
          <w:lang w:val="fr-FR"/>
        </w:rPr>
        <w:t xml:space="preserve">Case 44/79 </w:t>
      </w:r>
      <w:r w:rsidRPr="00651CFF">
        <w:rPr>
          <w:rFonts w:cstheme="minorHAnsi"/>
          <w:i/>
          <w:iCs/>
          <w:lang w:val="fr-FR"/>
        </w:rPr>
        <w:t xml:space="preserve">Hauer </w:t>
      </w:r>
      <w:r w:rsidRPr="00651CFF">
        <w:rPr>
          <w:rFonts w:cstheme="minorHAnsi"/>
          <w:lang w:val="fr-FR"/>
        </w:rPr>
        <w:t xml:space="preserve">[1979] </w:t>
      </w:r>
      <w:r w:rsidRPr="00651CFF">
        <w:rPr>
          <w:rStyle w:val="st"/>
          <w:rFonts w:cstheme="minorHAnsi"/>
          <w:lang w:val="fr-FR"/>
        </w:rPr>
        <w:t>EU:C:1979:290</w:t>
      </w:r>
    </w:p>
    <w:p w14:paraId="710561EC" w14:textId="77777777" w:rsidR="009F7274" w:rsidRPr="009F7274" w:rsidRDefault="00C52664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 w:rsidRPr="00651CFF">
        <w:rPr>
          <w:rFonts w:cstheme="minorHAnsi"/>
        </w:rPr>
        <w:t xml:space="preserve">Case C-144/04 </w:t>
      </w:r>
      <w:r w:rsidRPr="00651CFF">
        <w:rPr>
          <w:rFonts w:cstheme="minorHAnsi"/>
          <w:i/>
          <w:iCs/>
        </w:rPr>
        <w:t>Mangold v Helm</w:t>
      </w:r>
      <w:r w:rsidRPr="00651CFF">
        <w:rPr>
          <w:rFonts w:cstheme="minorHAnsi"/>
          <w:i/>
        </w:rPr>
        <w:t xml:space="preserve"> </w:t>
      </w:r>
      <w:r w:rsidRPr="00651CFF">
        <w:rPr>
          <w:rFonts w:cstheme="minorHAnsi"/>
          <w:shd w:val="clear" w:color="auto" w:fill="FFFFFF"/>
        </w:rPr>
        <w:t xml:space="preserve">EU:C:2005:709 </w:t>
      </w:r>
    </w:p>
    <w:p w14:paraId="2F1D73DC" w14:textId="63495AED" w:rsidR="006D7242" w:rsidRPr="009F7274" w:rsidRDefault="009F7274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 w:rsidRPr="00A66616">
        <w:rPr>
          <w:rStyle w:val="Emphasis"/>
          <w:rFonts w:cstheme="minorHAnsi"/>
          <w:i w:val="0"/>
          <w:iCs w:val="0"/>
          <w:szCs w:val="24"/>
        </w:rPr>
        <w:t>Case 149/77</w:t>
      </w:r>
      <w:r w:rsidRPr="00D50211">
        <w:rPr>
          <w:rStyle w:val="Emphasis"/>
          <w:rFonts w:cstheme="minorHAnsi"/>
          <w:szCs w:val="24"/>
        </w:rPr>
        <w:t xml:space="preserve"> Defrenne (III)</w:t>
      </w:r>
      <w:r w:rsidRPr="00D50211">
        <w:rPr>
          <w:rStyle w:val="acopre"/>
          <w:rFonts w:cstheme="minorHAnsi"/>
          <w:szCs w:val="24"/>
        </w:rPr>
        <w:t xml:space="preserve"> EU:C:1978:130</w:t>
      </w:r>
    </w:p>
    <w:p w14:paraId="5545B85E" w14:textId="709067FD" w:rsidR="00C52664" w:rsidRPr="00651CFF" w:rsidRDefault="00C52664" w:rsidP="00350A80">
      <w:pPr>
        <w:pStyle w:val="Heading3"/>
      </w:pPr>
      <w:r w:rsidRPr="00651CFF">
        <w:t xml:space="preserve">Cases for presentations </w:t>
      </w:r>
    </w:p>
    <w:p w14:paraId="5220605A" w14:textId="6FDC6B4E" w:rsidR="00C52664" w:rsidRPr="00D50211" w:rsidRDefault="00C52664">
      <w:pPr>
        <w:pStyle w:val="ListParagraph"/>
        <w:numPr>
          <w:ilvl w:val="0"/>
          <w:numId w:val="10"/>
        </w:numPr>
        <w:rPr>
          <w:rStyle w:val="acopre"/>
          <w:rFonts w:cstheme="minorHAnsi"/>
          <w:szCs w:val="24"/>
        </w:rPr>
      </w:pPr>
      <w:r w:rsidRPr="00A66616">
        <w:rPr>
          <w:rStyle w:val="Emphasis"/>
          <w:rFonts w:cstheme="minorHAnsi"/>
          <w:i w:val="0"/>
          <w:iCs w:val="0"/>
          <w:szCs w:val="24"/>
        </w:rPr>
        <w:t>C- 36/02</w:t>
      </w:r>
      <w:r w:rsidRPr="00D50211">
        <w:rPr>
          <w:rStyle w:val="Emphasis"/>
          <w:rFonts w:cstheme="minorHAnsi"/>
          <w:szCs w:val="24"/>
        </w:rPr>
        <w:t xml:space="preserve"> Omega </w:t>
      </w:r>
      <w:r w:rsidRPr="00D50211">
        <w:rPr>
          <w:rStyle w:val="acopre"/>
          <w:rFonts w:cstheme="minorHAnsi"/>
          <w:szCs w:val="24"/>
        </w:rPr>
        <w:t>EU:C:2004:614</w:t>
      </w:r>
    </w:p>
    <w:p w14:paraId="3F1D33C3" w14:textId="38BAC320" w:rsidR="00C52664" w:rsidRPr="00D50211" w:rsidRDefault="00C52664">
      <w:pPr>
        <w:pStyle w:val="ListParagraph"/>
        <w:numPr>
          <w:ilvl w:val="0"/>
          <w:numId w:val="10"/>
        </w:numPr>
        <w:rPr>
          <w:rStyle w:val="Emphasis"/>
          <w:rFonts w:cstheme="minorHAnsi"/>
          <w:i w:val="0"/>
          <w:iCs w:val="0"/>
          <w:szCs w:val="24"/>
        </w:rPr>
      </w:pPr>
      <w:r w:rsidRPr="00A66616">
        <w:rPr>
          <w:rStyle w:val="Emphasis"/>
          <w:rFonts w:cstheme="minorHAnsi"/>
          <w:i w:val="0"/>
          <w:iCs w:val="0"/>
          <w:szCs w:val="24"/>
        </w:rPr>
        <w:t>C-155/79</w:t>
      </w:r>
      <w:r w:rsidRPr="00D50211">
        <w:rPr>
          <w:rStyle w:val="Emphasis"/>
          <w:rFonts w:cstheme="minorHAnsi"/>
          <w:szCs w:val="24"/>
        </w:rPr>
        <w:t xml:space="preserve"> AM&amp;S </w:t>
      </w:r>
      <w:r w:rsidRPr="00D50211">
        <w:rPr>
          <w:rStyle w:val="acopre"/>
          <w:rFonts w:cstheme="minorHAnsi"/>
          <w:szCs w:val="24"/>
        </w:rPr>
        <w:t>EU:C:1982:157</w:t>
      </w:r>
    </w:p>
    <w:p w14:paraId="5E579C3A" w14:textId="425457D8" w:rsidR="00C52664" w:rsidRPr="00D50211" w:rsidRDefault="00C52664">
      <w:pPr>
        <w:pStyle w:val="ListParagraph"/>
        <w:numPr>
          <w:ilvl w:val="0"/>
          <w:numId w:val="10"/>
        </w:numPr>
        <w:rPr>
          <w:rStyle w:val="acopre"/>
          <w:rFonts w:cstheme="minorHAnsi"/>
          <w:szCs w:val="24"/>
        </w:rPr>
      </w:pPr>
      <w:r w:rsidRPr="00A66616">
        <w:rPr>
          <w:rStyle w:val="Emphasis"/>
          <w:rFonts w:eastAsia="SimSun" w:cstheme="minorHAnsi"/>
          <w:i w:val="0"/>
          <w:iCs w:val="0"/>
          <w:szCs w:val="24"/>
        </w:rPr>
        <w:t>C-147/08</w:t>
      </w:r>
      <w:r w:rsidRPr="00D50211">
        <w:rPr>
          <w:rStyle w:val="Emphasis"/>
          <w:rFonts w:eastAsia="SimSun" w:cstheme="minorHAnsi"/>
          <w:szCs w:val="24"/>
        </w:rPr>
        <w:t xml:space="preserve"> </w:t>
      </w:r>
      <w:r w:rsidRPr="00FA2E8B">
        <w:rPr>
          <w:i/>
          <w:iCs/>
          <w:szCs w:val="24"/>
        </w:rPr>
        <w:t>Römer</w:t>
      </w:r>
      <w:r w:rsidRPr="00D50211">
        <w:rPr>
          <w:szCs w:val="24"/>
        </w:rPr>
        <w:t xml:space="preserve"> </w:t>
      </w:r>
      <w:r w:rsidRPr="00D50211">
        <w:rPr>
          <w:rStyle w:val="acopre"/>
          <w:rFonts w:cstheme="minorHAnsi"/>
          <w:szCs w:val="24"/>
        </w:rPr>
        <w:t xml:space="preserve">EU:C:2011:286 </w:t>
      </w:r>
    </w:p>
    <w:p w14:paraId="78729CDB" w14:textId="56C6904C" w:rsidR="009122A6" w:rsidRPr="00A66616" w:rsidRDefault="00851035">
      <w:pPr>
        <w:pStyle w:val="ListParagraph"/>
        <w:numPr>
          <w:ilvl w:val="0"/>
          <w:numId w:val="10"/>
        </w:numPr>
        <w:rPr>
          <w:rStyle w:val="acopre"/>
          <w:szCs w:val="24"/>
        </w:rPr>
      </w:pPr>
      <w:r w:rsidRPr="00D50211">
        <w:rPr>
          <w:rFonts w:cs="Arial"/>
          <w:szCs w:val="24"/>
        </w:rPr>
        <w:t xml:space="preserve">C-216/18 PPU </w:t>
      </w:r>
      <w:r w:rsidRPr="00D50211">
        <w:rPr>
          <w:rFonts w:cs="Arial"/>
          <w:i/>
          <w:iCs/>
          <w:szCs w:val="24"/>
        </w:rPr>
        <w:t>Minister for Justice and Equality</w:t>
      </w:r>
      <w:r w:rsidRPr="00D50211">
        <w:rPr>
          <w:rFonts w:cs="Arial"/>
          <w:szCs w:val="24"/>
        </w:rPr>
        <w:t xml:space="preserve"> [LM], EU:C:2018:586 </w:t>
      </w:r>
    </w:p>
    <w:p w14:paraId="4F7A2487" w14:textId="77777777" w:rsidR="00D954CA" w:rsidRDefault="00D00B1F" w:rsidP="00D00B1F">
      <w:pPr>
        <w:spacing w:line="240" w:lineRule="auto"/>
        <w:rPr>
          <w:rFonts w:cs="Cambria"/>
          <w:color w:val="000000"/>
          <w:sz w:val="22"/>
        </w:rPr>
      </w:pPr>
      <w:r w:rsidRPr="00D954CA">
        <w:rPr>
          <w:rStyle w:val="Heading3Char"/>
        </w:rPr>
        <w:t>Further reading</w:t>
      </w:r>
      <w:r w:rsidRPr="00D00B1F">
        <w:rPr>
          <w:rFonts w:cs="Cambria"/>
          <w:color w:val="000000"/>
          <w:sz w:val="22"/>
        </w:rPr>
        <w:t xml:space="preserve">: </w:t>
      </w:r>
    </w:p>
    <w:p w14:paraId="405BFAF1" w14:textId="7DD550F3" w:rsidR="00C52664" w:rsidRDefault="00D954CA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9F25E7">
        <w:rPr>
          <w:rFonts w:cs="Cambria"/>
          <w:color w:val="000000"/>
          <w:szCs w:val="24"/>
        </w:rPr>
        <w:lastRenderedPageBreak/>
        <w:t xml:space="preserve">C. </w:t>
      </w:r>
      <w:r w:rsidR="00D00B1F" w:rsidRPr="009F25E7">
        <w:rPr>
          <w:szCs w:val="24"/>
        </w:rPr>
        <w:t xml:space="preserve">Amalfitano, </w:t>
      </w:r>
      <w:r w:rsidR="00D00B1F" w:rsidRPr="009F25E7">
        <w:rPr>
          <w:i/>
          <w:iCs/>
          <w:szCs w:val="24"/>
        </w:rPr>
        <w:t>General principles of EU law and the protection of fundamental rights</w:t>
      </w:r>
      <w:r w:rsidR="00131AFF">
        <w:rPr>
          <w:szCs w:val="24"/>
        </w:rPr>
        <w:t xml:space="preserve"> (</w:t>
      </w:r>
      <w:r w:rsidR="00D00B1F" w:rsidRPr="009F25E7">
        <w:rPr>
          <w:szCs w:val="24"/>
        </w:rPr>
        <w:t>Edward Elgar Publishing</w:t>
      </w:r>
      <w:r w:rsidRPr="009F25E7">
        <w:rPr>
          <w:szCs w:val="24"/>
        </w:rPr>
        <w:t>, 2018</w:t>
      </w:r>
      <w:r w:rsidR="00131AFF">
        <w:rPr>
          <w:szCs w:val="24"/>
        </w:rPr>
        <w:t>)</w:t>
      </w:r>
    </w:p>
    <w:p w14:paraId="0030BD72" w14:textId="77777777" w:rsidR="0084354E" w:rsidRPr="009A27A7" w:rsidRDefault="0084354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D00B1F">
        <w:t>E. Hancox</w:t>
      </w:r>
      <w:r w:rsidRPr="009A27A7">
        <w:t xml:space="preserve">, ‘The Relationship Between the Charter and General Principles: Looking Back and Looking Forward (2020) 22 </w:t>
      </w:r>
      <w:r w:rsidRPr="009A27A7">
        <w:rPr>
          <w:i/>
          <w:iCs/>
        </w:rPr>
        <w:t>Cambridge Yearbook of European Legal Studies</w:t>
      </w:r>
      <w:r w:rsidRPr="009A27A7">
        <w:t xml:space="preserve"> 233–57 [24p]</w:t>
      </w:r>
    </w:p>
    <w:p w14:paraId="0204EF62" w14:textId="77777777" w:rsidR="002606A3" w:rsidRPr="0084354E" w:rsidRDefault="002606A3" w:rsidP="0084354E">
      <w:pPr>
        <w:spacing w:line="240" w:lineRule="auto"/>
        <w:ind w:left="360"/>
        <w:rPr>
          <w:szCs w:val="24"/>
        </w:rPr>
      </w:pPr>
    </w:p>
    <w:p w14:paraId="22D9740C" w14:textId="604EAEA7" w:rsidR="002E7EB3" w:rsidRDefault="00D205C3" w:rsidP="0076264D">
      <w:pPr>
        <w:pStyle w:val="Heading2"/>
      </w:pPr>
      <w:r>
        <w:t>7-8</w:t>
      </w:r>
      <w:r w:rsidR="00910B5C" w:rsidRPr="00651CFF">
        <w:t>. Codif</w:t>
      </w:r>
      <w:r w:rsidR="00026DAA">
        <w:t>ying fundamental h</w:t>
      </w:r>
      <w:r w:rsidR="00057735" w:rsidRPr="00651CFF">
        <w:t xml:space="preserve">uman </w:t>
      </w:r>
      <w:r w:rsidR="00026DAA">
        <w:t>r</w:t>
      </w:r>
      <w:r w:rsidR="00057735" w:rsidRPr="00651CFF">
        <w:t>ights</w:t>
      </w:r>
      <w:r w:rsidR="00026DAA">
        <w:t>:</w:t>
      </w:r>
      <w:r w:rsidR="00057735" w:rsidRPr="00651CFF">
        <w:t xml:space="preserve"> </w:t>
      </w:r>
      <w:r w:rsidR="0076264D">
        <w:t xml:space="preserve">EU Treaties </w:t>
      </w:r>
      <w:r w:rsidR="00026DAA">
        <w:t>and the</w:t>
      </w:r>
      <w:r w:rsidR="00910B5C" w:rsidRPr="00651CFF">
        <w:t xml:space="preserve"> EU Charter of Fundamental Rights </w:t>
      </w:r>
    </w:p>
    <w:p w14:paraId="0F542DB1" w14:textId="1A4024EF" w:rsidR="004630A3" w:rsidRDefault="004718EF" w:rsidP="004718EF">
      <w:r>
        <w:t xml:space="preserve">After the initial impetus from the </w:t>
      </w:r>
      <w:r w:rsidR="00B508F1">
        <w:t>ECJ</w:t>
      </w:r>
      <w:r w:rsidR="00026DAA">
        <w:t xml:space="preserve"> case law</w:t>
      </w:r>
      <w:r w:rsidR="00C82630">
        <w:t>,</w:t>
      </w:r>
      <w:r>
        <w:t xml:space="preserve"> the EU political institutions</w:t>
      </w:r>
      <w:r w:rsidR="00B508F1">
        <w:t xml:space="preserve"> followed suit with </w:t>
      </w:r>
      <w:r w:rsidR="00EB145B">
        <w:t xml:space="preserve">a number of </w:t>
      </w:r>
      <w:r w:rsidR="00EE2B19">
        <w:t>institutional initiatives and interinstitutional agreements</w:t>
      </w:r>
      <w:r w:rsidR="00EB145B">
        <w:t>. Eventually</w:t>
      </w:r>
      <w:r w:rsidR="00EE2B19">
        <w:t>, the Treaties were amend</w:t>
      </w:r>
      <w:r w:rsidR="00374ECB">
        <w:t xml:space="preserve">ed </w:t>
      </w:r>
      <w:r w:rsidR="00EE2B19">
        <w:t xml:space="preserve">to include </w:t>
      </w:r>
      <w:r w:rsidR="00460A1B">
        <w:t>provisions for the protection of fundamental rights</w:t>
      </w:r>
      <w:r w:rsidR="00EB145B">
        <w:t>. Moreover, in 2000, the</w:t>
      </w:r>
      <w:r w:rsidR="00460A1B">
        <w:t xml:space="preserve"> EU drafted and adopted its own </w:t>
      </w:r>
      <w:r w:rsidR="00D05C16">
        <w:t>Bill of Rights</w:t>
      </w:r>
      <w:r w:rsidR="00460A1B">
        <w:t xml:space="preserve"> </w:t>
      </w:r>
      <w:r w:rsidR="00D05C16">
        <w:t>- the</w:t>
      </w:r>
      <w:r w:rsidR="00460A1B">
        <w:t xml:space="preserve"> EU Charter of Fundamental Righ</w:t>
      </w:r>
      <w:r w:rsidR="00DF6518">
        <w:t>t</w:t>
      </w:r>
      <w:r w:rsidR="00460A1B">
        <w:t>s</w:t>
      </w:r>
      <w:r w:rsidR="00D05C16">
        <w:t xml:space="preserve"> </w:t>
      </w:r>
      <w:r w:rsidR="00460A1B">
        <w:t xml:space="preserve"> </w:t>
      </w:r>
      <w:r w:rsidR="00D05C16">
        <w:t>(</w:t>
      </w:r>
      <w:r w:rsidR="00460A1B">
        <w:t>which became legally bindin</w:t>
      </w:r>
      <w:r w:rsidR="008B0494">
        <w:t xml:space="preserve">g with the 2009 Lisbon </w:t>
      </w:r>
      <w:r w:rsidR="009D5A69">
        <w:t>T</w:t>
      </w:r>
      <w:r w:rsidR="008B0494">
        <w:t>reaty</w:t>
      </w:r>
      <w:r w:rsidR="00D05C16">
        <w:t>)</w:t>
      </w:r>
      <w:r w:rsidR="008B0494">
        <w:t>.</w:t>
      </w:r>
      <w:r w:rsidR="009D5A69">
        <w:t xml:space="preserve"> </w:t>
      </w:r>
    </w:p>
    <w:p w14:paraId="7575EA3F" w14:textId="362699DA" w:rsidR="004718EF" w:rsidRPr="004718EF" w:rsidRDefault="00D05C16" w:rsidP="004718EF">
      <w:r>
        <w:t xml:space="preserve">Discussion questions: </w:t>
      </w:r>
      <w:r w:rsidR="004630A3">
        <w:t>Was the Charter needed?</w:t>
      </w:r>
      <w:r w:rsidR="007E0B78">
        <w:t xml:space="preserve"> </w:t>
      </w:r>
      <w:r w:rsidR="009D5A69">
        <w:t xml:space="preserve">What </w:t>
      </w:r>
      <w:r w:rsidR="004630A3">
        <w:t>is its impact</w:t>
      </w:r>
      <w:r w:rsidR="00B72CDF">
        <w:t>?</w:t>
      </w:r>
      <w:r w:rsidR="00C0168A">
        <w:t xml:space="preserve"> </w:t>
      </w:r>
      <w:r w:rsidR="00274F16">
        <w:t xml:space="preserve">How should the Charter provisions be applied and interpreted?  </w:t>
      </w:r>
      <w:r w:rsidR="005629F4">
        <w:t>Are there differences between rights and princ</w:t>
      </w:r>
      <w:r w:rsidR="009710AA">
        <w:t>iples in the Charter?</w:t>
      </w:r>
      <w:r w:rsidR="006E01FA">
        <w:t xml:space="preserve"> Do the Charter apply in horizontal situations?</w:t>
      </w:r>
      <w:r w:rsidR="009710AA">
        <w:t xml:space="preserve"> Is there a protected ‘core’ of Charter rights? </w:t>
      </w:r>
      <w:r w:rsidR="00274F16">
        <w:t>How do the various EU fundamental human rights norms interact?</w:t>
      </w:r>
    </w:p>
    <w:p w14:paraId="3C4B572C" w14:textId="77777777" w:rsidR="002E7EB3" w:rsidRPr="00651CFF" w:rsidRDefault="002E7EB3" w:rsidP="005E11A6">
      <w:pPr>
        <w:pStyle w:val="Heading3"/>
      </w:pPr>
      <w:r w:rsidRPr="00651CFF">
        <w:t>Mandatory reading</w:t>
      </w:r>
    </w:p>
    <w:p w14:paraId="765FB68B" w14:textId="4EF4F0C0" w:rsidR="00B84459" w:rsidRDefault="00B84459">
      <w:pPr>
        <w:pStyle w:val="ListParagraph"/>
        <w:numPr>
          <w:ilvl w:val="0"/>
          <w:numId w:val="11"/>
        </w:numPr>
        <w:rPr>
          <w:szCs w:val="24"/>
        </w:rPr>
      </w:pPr>
      <w:r w:rsidRPr="005E11A6">
        <w:rPr>
          <w:szCs w:val="24"/>
        </w:rPr>
        <w:t xml:space="preserve">E. Spaventa ’Fundamental Rights in the European Union’ in C. Barnard and S. Peers (ed) </w:t>
      </w:r>
      <w:r w:rsidRPr="00764E8B">
        <w:rPr>
          <w:i/>
          <w:iCs/>
          <w:szCs w:val="24"/>
        </w:rPr>
        <w:t>European Union Law</w:t>
      </w:r>
      <w:r w:rsidRPr="005E11A6">
        <w:rPr>
          <w:szCs w:val="24"/>
        </w:rPr>
        <w:t xml:space="preserve"> (OUP, 2020) 243-282, </w:t>
      </w:r>
      <w:r w:rsidRPr="00924CC4">
        <w:rPr>
          <w:szCs w:val="24"/>
          <w:highlight w:val="yellow"/>
        </w:rPr>
        <w:t xml:space="preserve">read </w:t>
      </w:r>
      <w:r w:rsidR="003D0A86" w:rsidRPr="00924CC4">
        <w:rPr>
          <w:szCs w:val="24"/>
          <w:highlight w:val="yellow"/>
        </w:rPr>
        <w:t>pp</w:t>
      </w:r>
      <w:r w:rsidRPr="00924CC4">
        <w:rPr>
          <w:szCs w:val="24"/>
          <w:highlight w:val="yellow"/>
        </w:rPr>
        <w:t xml:space="preserve"> 253-270</w:t>
      </w:r>
      <w:r w:rsidRPr="005E11A6">
        <w:rPr>
          <w:szCs w:val="24"/>
        </w:rPr>
        <w:t xml:space="preserve"> [17p]</w:t>
      </w:r>
    </w:p>
    <w:p w14:paraId="25C4D56F" w14:textId="2B710ACD" w:rsidR="00B312CD" w:rsidRPr="002F453D" w:rsidRDefault="006D1104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T. </w:t>
      </w:r>
      <w:r w:rsidR="00B312CD" w:rsidRPr="00B312CD">
        <w:rPr>
          <w:szCs w:val="24"/>
        </w:rPr>
        <w:t xml:space="preserve">Lock, </w:t>
      </w:r>
      <w:r w:rsidR="00B312CD">
        <w:rPr>
          <w:szCs w:val="24"/>
        </w:rPr>
        <w:t>‘</w:t>
      </w:r>
      <w:r w:rsidR="00B312CD" w:rsidRPr="00B312CD">
        <w:rPr>
          <w:szCs w:val="24"/>
        </w:rPr>
        <w:t>Rights and principles in the EU Charter of Fundamental Rights.</w:t>
      </w:r>
      <w:r w:rsidR="00B312CD">
        <w:rPr>
          <w:szCs w:val="24"/>
        </w:rPr>
        <w:t>’</w:t>
      </w:r>
      <w:r w:rsidR="00B312CD" w:rsidRPr="00B312CD">
        <w:rPr>
          <w:szCs w:val="24"/>
        </w:rPr>
        <w:t xml:space="preserve"> </w:t>
      </w:r>
      <w:r w:rsidR="00B312CD" w:rsidRPr="00B312CD">
        <w:rPr>
          <w:i/>
          <w:szCs w:val="24"/>
        </w:rPr>
        <w:t xml:space="preserve">Common Market Law Review </w:t>
      </w:r>
      <w:r w:rsidR="00B312CD" w:rsidRPr="00B312CD">
        <w:rPr>
          <w:szCs w:val="24"/>
        </w:rPr>
        <w:t>56.5 (2019).</w:t>
      </w:r>
      <w:r w:rsidR="001D73BB">
        <w:rPr>
          <w:szCs w:val="24"/>
        </w:rPr>
        <w:t>1201-1226</w:t>
      </w:r>
      <w:r w:rsidR="0067053F">
        <w:rPr>
          <w:szCs w:val="24"/>
        </w:rPr>
        <w:t>, r</w:t>
      </w:r>
      <w:r w:rsidR="006E4FD9">
        <w:rPr>
          <w:szCs w:val="24"/>
        </w:rPr>
        <w:t xml:space="preserve">ead p. </w:t>
      </w:r>
      <w:r w:rsidR="006E4FD9" w:rsidRPr="006E4FD9">
        <w:rPr>
          <w:szCs w:val="24"/>
          <w:highlight w:val="yellow"/>
        </w:rPr>
        <w:t>1</w:t>
      </w:r>
      <w:r w:rsidR="0067053F" w:rsidRPr="006E4FD9">
        <w:rPr>
          <w:szCs w:val="24"/>
          <w:highlight w:val="yellow"/>
        </w:rPr>
        <w:t>224-1226 [2p]</w:t>
      </w:r>
    </w:p>
    <w:p w14:paraId="697BF674" w14:textId="16874144" w:rsidR="00F90598" w:rsidRPr="002F453D" w:rsidRDefault="00887F32">
      <w:pPr>
        <w:pStyle w:val="ListParagraph"/>
        <w:numPr>
          <w:ilvl w:val="0"/>
          <w:numId w:val="11"/>
        </w:numPr>
        <w:rPr>
          <w:szCs w:val="24"/>
        </w:rPr>
      </w:pPr>
      <w:r w:rsidRPr="002F453D">
        <w:rPr>
          <w:szCs w:val="24"/>
        </w:rPr>
        <w:t xml:space="preserve">K. Lenaerts. ‘Limits on limitations: The Essence of fundamental rights’ (2019) </w:t>
      </w:r>
      <w:r w:rsidR="00A03706" w:rsidRPr="002F453D">
        <w:rPr>
          <w:szCs w:val="24"/>
        </w:rPr>
        <w:t>20:6</w:t>
      </w:r>
      <w:r w:rsidR="00A03706" w:rsidRPr="00F76ECA">
        <w:rPr>
          <w:i/>
          <w:iCs/>
          <w:szCs w:val="24"/>
        </w:rPr>
        <w:t xml:space="preserve"> </w:t>
      </w:r>
      <w:r w:rsidRPr="00F76ECA">
        <w:rPr>
          <w:i/>
          <w:iCs/>
          <w:szCs w:val="24"/>
        </w:rPr>
        <w:t xml:space="preserve">German Law </w:t>
      </w:r>
      <w:r w:rsidR="005E0031" w:rsidRPr="00F76ECA">
        <w:rPr>
          <w:i/>
          <w:iCs/>
          <w:szCs w:val="24"/>
        </w:rPr>
        <w:t>J</w:t>
      </w:r>
      <w:r w:rsidRPr="00F76ECA">
        <w:rPr>
          <w:i/>
          <w:iCs/>
          <w:szCs w:val="24"/>
        </w:rPr>
        <w:t xml:space="preserve">ournal </w:t>
      </w:r>
      <w:r w:rsidR="00954CAF" w:rsidRPr="002F453D">
        <w:rPr>
          <w:szCs w:val="24"/>
        </w:rPr>
        <w:t xml:space="preserve">. </w:t>
      </w:r>
      <w:r w:rsidR="00A03706" w:rsidRPr="002F453D">
        <w:rPr>
          <w:szCs w:val="24"/>
        </w:rPr>
        <w:t>-</w:t>
      </w:r>
      <w:r w:rsidR="00924CC4" w:rsidRPr="002F453D">
        <w:rPr>
          <w:szCs w:val="24"/>
        </w:rPr>
        <w:t xml:space="preserve">779- </w:t>
      </w:r>
      <w:r w:rsidR="00A03706" w:rsidRPr="002F453D">
        <w:rPr>
          <w:szCs w:val="24"/>
        </w:rPr>
        <w:t>7</w:t>
      </w:r>
      <w:r w:rsidR="00924CC4" w:rsidRPr="002F453D">
        <w:rPr>
          <w:szCs w:val="24"/>
        </w:rPr>
        <w:t>93</w:t>
      </w:r>
      <w:r w:rsidR="00A03706" w:rsidRPr="002F453D">
        <w:rPr>
          <w:szCs w:val="24"/>
        </w:rPr>
        <w:t xml:space="preserve"> </w:t>
      </w:r>
      <w:r w:rsidR="00A03706" w:rsidRPr="002F453D">
        <w:rPr>
          <w:szCs w:val="24"/>
          <w:highlight w:val="yellow"/>
        </w:rPr>
        <w:t>sections B II and C</w:t>
      </w:r>
      <w:r w:rsidR="00924CC4" w:rsidRPr="002F453D">
        <w:rPr>
          <w:szCs w:val="24"/>
          <w:highlight w:val="yellow"/>
        </w:rPr>
        <w:t>.</w:t>
      </w:r>
    </w:p>
    <w:p w14:paraId="42F5012F" w14:textId="7110C029" w:rsidR="00A61190" w:rsidRPr="002F453D" w:rsidRDefault="00A61190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Cs w:val="24"/>
        </w:rPr>
      </w:pPr>
      <w:r w:rsidRPr="002F453D">
        <w:rPr>
          <w:szCs w:val="24"/>
        </w:rPr>
        <w:t xml:space="preserve">Listen to podcast by G Toggenburg, ’Law Birds Eye View’ </w:t>
      </w:r>
      <w:r w:rsidR="00B04186">
        <w:rPr>
          <w:szCs w:val="24"/>
        </w:rPr>
        <w:t xml:space="preserve">Available at </w:t>
      </w:r>
      <w:hyperlink r:id="rId25" w:history="1">
        <w:r w:rsidRPr="002F453D">
          <w:rPr>
            <w:rStyle w:val="Hyperlink"/>
            <w:rFonts w:cstheme="minorHAnsi"/>
            <w:szCs w:val="24"/>
          </w:rPr>
          <w:t>https://fra.europa.eu/en/audio/2021/law-birds-eye-view [podcast, 2021, 15</w:t>
        </w:r>
      </w:hyperlink>
      <w:r w:rsidRPr="002F453D">
        <w:rPr>
          <w:szCs w:val="24"/>
        </w:rPr>
        <w:t xml:space="preserve"> mins]</w:t>
      </w:r>
    </w:p>
    <w:p w14:paraId="43178BC3" w14:textId="77777777" w:rsidR="001F3CF1" w:rsidRPr="002F453D" w:rsidRDefault="001F3CF1">
      <w:pPr>
        <w:pStyle w:val="ListParagraph"/>
        <w:numPr>
          <w:ilvl w:val="0"/>
          <w:numId w:val="11"/>
        </w:numPr>
        <w:rPr>
          <w:szCs w:val="24"/>
        </w:rPr>
      </w:pPr>
      <w:r w:rsidRPr="002F453D">
        <w:rPr>
          <w:szCs w:val="24"/>
        </w:rPr>
        <w:t xml:space="preserve">Articles 2, 3, 6 , 7, 21 and 49 </w:t>
      </w:r>
      <w:hyperlink r:id="rId26" w:history="1">
        <w:r w:rsidRPr="002F453D">
          <w:rPr>
            <w:rStyle w:val="Hyperlink"/>
            <w:rFonts w:cstheme="minorHAnsi"/>
            <w:szCs w:val="24"/>
          </w:rPr>
          <w:t>TEU</w:t>
        </w:r>
      </w:hyperlink>
      <w:r w:rsidRPr="002F453D">
        <w:rPr>
          <w:szCs w:val="24"/>
        </w:rPr>
        <w:t xml:space="preserve">, and Articles 8, 9, 10, 11, 19, 20 </w:t>
      </w:r>
      <w:hyperlink r:id="rId27" w:history="1">
        <w:r w:rsidRPr="002F453D">
          <w:rPr>
            <w:rStyle w:val="Hyperlink"/>
            <w:rFonts w:cstheme="minorHAnsi"/>
            <w:szCs w:val="24"/>
          </w:rPr>
          <w:t>TFEU</w:t>
        </w:r>
      </w:hyperlink>
      <w:r w:rsidRPr="002F453D">
        <w:rPr>
          <w:szCs w:val="24"/>
        </w:rPr>
        <w:t>.</w:t>
      </w:r>
    </w:p>
    <w:p w14:paraId="7307FD2F" w14:textId="110B046F" w:rsidR="001F3CF1" w:rsidRPr="002F453D" w:rsidRDefault="00B71812">
      <w:pPr>
        <w:pStyle w:val="ListParagraph"/>
        <w:numPr>
          <w:ilvl w:val="0"/>
          <w:numId w:val="11"/>
        </w:numPr>
        <w:rPr>
          <w:szCs w:val="24"/>
          <w:u w:val="single"/>
        </w:rPr>
      </w:pPr>
      <w:r w:rsidRPr="002F453D">
        <w:rPr>
          <w:szCs w:val="24"/>
        </w:rPr>
        <w:t xml:space="preserve">Consult the </w:t>
      </w:r>
      <w:r w:rsidR="001F3CF1" w:rsidRPr="00B04186">
        <w:rPr>
          <w:rFonts w:cstheme="minorHAnsi"/>
          <w:szCs w:val="24"/>
        </w:rPr>
        <w:t>EU Charter of Fundamental Rights</w:t>
      </w:r>
      <w:r w:rsidR="00B04186">
        <w:rPr>
          <w:rStyle w:val="Hyperlink"/>
          <w:rFonts w:cstheme="minorHAnsi"/>
          <w:szCs w:val="24"/>
        </w:rPr>
        <w:t xml:space="preserve">. </w:t>
      </w:r>
      <w:r w:rsidR="00B04186">
        <w:rPr>
          <w:szCs w:val="24"/>
        </w:rPr>
        <w:t>Available at</w:t>
      </w:r>
      <w:r w:rsidR="001F3CF1" w:rsidRPr="002F453D">
        <w:rPr>
          <w:szCs w:val="24"/>
        </w:rPr>
        <w:t xml:space="preserve"> (CFR)</w:t>
      </w:r>
      <w:r w:rsidR="00B04186">
        <w:rPr>
          <w:szCs w:val="24"/>
        </w:rPr>
        <w:t xml:space="preserve">, </w:t>
      </w:r>
      <w:hyperlink r:id="rId28" w:history="1">
        <w:r w:rsidR="00614E19" w:rsidRPr="004657C1">
          <w:rPr>
            <w:rStyle w:val="Hyperlink"/>
            <w:szCs w:val="24"/>
          </w:rPr>
          <w:t>https://eur-lex.europa.eu/legal-content/EN/TXT/?uri=CELEX:12012P/TXT</w:t>
        </w:r>
      </w:hyperlink>
      <w:r w:rsidR="00614E19">
        <w:rPr>
          <w:szCs w:val="24"/>
        </w:rPr>
        <w:t xml:space="preserve"> </w:t>
      </w:r>
    </w:p>
    <w:p w14:paraId="0C84C3D3" w14:textId="14A6996D" w:rsidR="002F453D" w:rsidRPr="00B615AF" w:rsidRDefault="002F453D">
      <w:pPr>
        <w:pStyle w:val="ListParagraph"/>
        <w:numPr>
          <w:ilvl w:val="0"/>
          <w:numId w:val="11"/>
        </w:numPr>
        <w:rPr>
          <w:rFonts w:cstheme="minorHAnsi"/>
          <w:szCs w:val="24"/>
          <w:u w:val="single"/>
        </w:rPr>
      </w:pPr>
      <w:r w:rsidRPr="002F453D">
        <w:rPr>
          <w:rStyle w:val="Hyperlink"/>
          <w:rFonts w:cstheme="minorHAnsi"/>
          <w:color w:val="auto"/>
          <w:szCs w:val="24"/>
          <w:u w:val="none"/>
        </w:rPr>
        <w:t xml:space="preserve">EU fundamental rights information system (EFRIS): </w:t>
      </w:r>
      <w:hyperlink r:id="rId29" w:history="1">
        <w:r w:rsidRPr="002F453D">
          <w:rPr>
            <w:rStyle w:val="Hyperlink"/>
            <w:rFonts w:cstheme="minorHAnsi"/>
            <w:szCs w:val="24"/>
          </w:rPr>
          <w:t>https://fra.europa.eu/en/databases/efris/</w:t>
        </w:r>
      </w:hyperlink>
      <w:r w:rsidRPr="002F453D">
        <w:rPr>
          <w:rStyle w:val="Hyperlink"/>
          <w:rFonts w:cstheme="minorHAnsi"/>
          <w:color w:val="auto"/>
          <w:szCs w:val="24"/>
          <w:u w:val="none"/>
        </w:rPr>
        <w:t xml:space="preserve">   </w:t>
      </w:r>
    </w:p>
    <w:p w14:paraId="4B1BDB5F" w14:textId="4B43DAFB" w:rsidR="00342E59" w:rsidRDefault="00342E59" w:rsidP="00342E59">
      <w:pPr>
        <w:pStyle w:val="Heading3"/>
      </w:pPr>
      <w:r>
        <w:t xml:space="preserve">Further </w:t>
      </w:r>
      <w:r w:rsidR="00263D27">
        <w:t>materials</w:t>
      </w:r>
    </w:p>
    <w:p w14:paraId="2EC6FF25" w14:textId="77777777" w:rsidR="00BF6D93" w:rsidRDefault="00BF6D93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E. Franziou, ‘</w:t>
      </w:r>
      <w:r w:rsidRPr="00A665FF">
        <w:rPr>
          <w:rFonts w:cs="Arial"/>
          <w:szCs w:val="24"/>
        </w:rPr>
        <w:t>(Most of) the Charter of Fundamental Rights is horizontally</w:t>
      </w:r>
      <w:r>
        <w:rPr>
          <w:rFonts w:cs="Arial"/>
          <w:szCs w:val="24"/>
        </w:rPr>
        <w:t xml:space="preserve"> applicable’</w:t>
      </w:r>
      <w:r>
        <w:rPr>
          <w:szCs w:val="24"/>
        </w:rPr>
        <w:t xml:space="preserve"> (2019) 15:2 </w:t>
      </w:r>
      <w:r w:rsidRPr="00A665FF">
        <w:rPr>
          <w:szCs w:val="24"/>
        </w:rPr>
        <w:t>E.C.L. Review 306-323</w:t>
      </w:r>
    </w:p>
    <w:p w14:paraId="015BAEB1" w14:textId="483B79B8" w:rsidR="00523B07" w:rsidRDefault="00523B07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EU Fundamental Rights Agency (2020), </w:t>
      </w:r>
      <w:r w:rsidR="00201B4E">
        <w:rPr>
          <w:szCs w:val="24"/>
        </w:rPr>
        <w:t>‘</w:t>
      </w:r>
      <w:r>
        <w:rPr>
          <w:szCs w:val="24"/>
        </w:rPr>
        <w:t xml:space="preserve">10 years on: the application of the Charter’ (2020) </w:t>
      </w:r>
      <w:hyperlink r:id="rId30" w:history="1">
        <w:r w:rsidRPr="00AC1BB1">
          <w:rPr>
            <w:rStyle w:val="Hyperlink"/>
            <w:szCs w:val="24"/>
          </w:rPr>
          <w:t>https://fra.europa.eu/sites/default/files/fra_uploads/fra-2020-fundamental-rights-report-2020-focus_en.pdf</w:t>
        </w:r>
      </w:hyperlink>
      <w:r>
        <w:rPr>
          <w:szCs w:val="24"/>
        </w:rPr>
        <w:t xml:space="preserve"> </w:t>
      </w:r>
    </w:p>
    <w:p w14:paraId="586A55AE" w14:textId="2C6A340D" w:rsidR="00615B01" w:rsidRPr="00B615AF" w:rsidRDefault="00615B0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S. Rossi, ‘Same value as the Treaties? Rank, Primacy, and Direct Effects of the EU Charter of Fundamental Rights (2017) 18 </w:t>
      </w:r>
      <w:r w:rsidRPr="002F453D">
        <w:rPr>
          <w:i/>
          <w:iCs/>
          <w:szCs w:val="24"/>
        </w:rPr>
        <w:t>German Law Journal</w:t>
      </w:r>
      <w:r>
        <w:rPr>
          <w:szCs w:val="24"/>
        </w:rPr>
        <w:t xml:space="preserve"> 771. </w:t>
      </w:r>
    </w:p>
    <w:p w14:paraId="0696BABF" w14:textId="495FC8D7" w:rsidR="00A665FF" w:rsidRDefault="00342E59">
      <w:pPr>
        <w:pStyle w:val="ListParagraph"/>
        <w:numPr>
          <w:ilvl w:val="0"/>
          <w:numId w:val="11"/>
        </w:numPr>
        <w:rPr>
          <w:szCs w:val="24"/>
        </w:rPr>
      </w:pPr>
      <w:r w:rsidRPr="00A61190">
        <w:rPr>
          <w:szCs w:val="24"/>
        </w:rPr>
        <w:t xml:space="preserve">N Cogland and M Steiert </w:t>
      </w:r>
      <w:hyperlink r:id="rId31" w:history="1">
        <w:r w:rsidRPr="00A61190">
          <w:rPr>
            <w:rStyle w:val="Hyperlink"/>
            <w:rFonts w:cstheme="minorHAnsi"/>
            <w:szCs w:val="24"/>
          </w:rPr>
          <w:t>’The Charter at 20: returning to its origins as a critical juncture for fundamental rights protection</w:t>
        </w:r>
      </w:hyperlink>
      <w:r w:rsidRPr="00A61190">
        <w:rPr>
          <w:szCs w:val="24"/>
        </w:rPr>
        <w:t xml:space="preserve">’ 7 Dec 2020, </w:t>
      </w:r>
      <w:r w:rsidRPr="003F28AF">
        <w:rPr>
          <w:i/>
          <w:iCs/>
          <w:szCs w:val="24"/>
        </w:rPr>
        <w:t>European Law Blog</w:t>
      </w:r>
      <w:r w:rsidR="00B04186">
        <w:rPr>
          <w:szCs w:val="24"/>
        </w:rPr>
        <w:t xml:space="preserve">. </w:t>
      </w:r>
    </w:p>
    <w:p w14:paraId="04FD436A" w14:textId="06820F1F" w:rsidR="00B632B4" w:rsidRDefault="003361BA">
      <w:pPr>
        <w:pStyle w:val="ListParagraph"/>
        <w:numPr>
          <w:ilvl w:val="0"/>
          <w:numId w:val="11"/>
        </w:numPr>
        <w:rPr>
          <w:szCs w:val="24"/>
        </w:rPr>
      </w:pPr>
      <w:r>
        <w:lastRenderedPageBreak/>
        <w:t xml:space="preserve">Commission Implementing Decision (EU) 2023/165 of 12 January 2023 on the request for registration of the </w:t>
      </w:r>
      <w:r w:rsidRPr="00692743">
        <w:rPr>
          <w:i/>
          <w:iCs/>
        </w:rPr>
        <w:t>European citizens’ initiative</w:t>
      </w:r>
      <w:r>
        <w:t xml:space="preserve"> entitled ‘Article 4: Stop torture and inhuman treatment at Europe’s borders’</w:t>
      </w:r>
      <w:r w:rsidR="00B632B4">
        <w:rPr>
          <w:szCs w:val="24"/>
        </w:rPr>
        <w:t xml:space="preserve">: </w:t>
      </w:r>
      <w:hyperlink r:id="rId32" w:history="1">
        <w:r w:rsidR="00B632B4" w:rsidRPr="005E2B50">
          <w:rPr>
            <w:rStyle w:val="Hyperlink"/>
            <w:szCs w:val="24"/>
          </w:rPr>
          <w:t>https://eur-lex.europa.eu/eli/dec_impl/2023/165/oj</w:t>
        </w:r>
      </w:hyperlink>
      <w:r w:rsidR="00B632B4">
        <w:rPr>
          <w:szCs w:val="24"/>
        </w:rPr>
        <w:t xml:space="preserve"> </w:t>
      </w:r>
    </w:p>
    <w:p w14:paraId="38198BBB" w14:textId="531B3FB9" w:rsidR="00872EA0" w:rsidRDefault="005402ED" w:rsidP="00B615AF">
      <w:pPr>
        <w:pStyle w:val="Heading3"/>
      </w:pPr>
      <w:r>
        <w:t>Core cases</w:t>
      </w:r>
    </w:p>
    <w:p w14:paraId="5768858E" w14:textId="0BCF0D35" w:rsidR="005402ED" w:rsidRPr="00D47314" w:rsidRDefault="005402ED">
      <w:pPr>
        <w:pStyle w:val="ListParagraph"/>
        <w:numPr>
          <w:ilvl w:val="0"/>
          <w:numId w:val="12"/>
        </w:numPr>
        <w:rPr>
          <w:rStyle w:val="acopre"/>
          <w:rFonts w:cstheme="minorHAnsi"/>
          <w:szCs w:val="24"/>
          <w:lang w:val="fr-FR"/>
        </w:rPr>
      </w:pPr>
      <w:r w:rsidRPr="00D47314">
        <w:rPr>
          <w:rFonts w:cstheme="minorHAnsi"/>
          <w:szCs w:val="24"/>
          <w:lang w:val="fr-FR"/>
        </w:rPr>
        <w:t xml:space="preserve">C-399/11 </w:t>
      </w:r>
      <w:r w:rsidRPr="00D47314">
        <w:rPr>
          <w:rFonts w:cstheme="minorHAnsi"/>
          <w:i/>
          <w:szCs w:val="24"/>
          <w:lang w:val="fr-FR"/>
        </w:rPr>
        <w:t xml:space="preserve">Melloni </w:t>
      </w:r>
      <w:r w:rsidRPr="00D47314">
        <w:rPr>
          <w:rStyle w:val="Emphasis"/>
          <w:rFonts w:eastAsia="SimSun" w:cstheme="minorHAnsi"/>
          <w:szCs w:val="24"/>
          <w:lang w:val="fr-FR"/>
        </w:rPr>
        <w:t>ECLI</w:t>
      </w:r>
      <w:r w:rsidRPr="00D47314">
        <w:rPr>
          <w:rStyle w:val="acopre"/>
          <w:rFonts w:cstheme="minorHAnsi"/>
          <w:i/>
          <w:szCs w:val="24"/>
          <w:lang w:val="fr-FR"/>
        </w:rPr>
        <w:t>:</w:t>
      </w:r>
      <w:r w:rsidRPr="00D47314">
        <w:rPr>
          <w:rStyle w:val="acopre"/>
          <w:rFonts w:cstheme="minorHAnsi"/>
          <w:szCs w:val="24"/>
          <w:lang w:val="fr-FR"/>
        </w:rPr>
        <w:t>EU:</w:t>
      </w:r>
      <w:r w:rsidRPr="006A2914">
        <w:rPr>
          <w:rStyle w:val="Emphasis"/>
          <w:rFonts w:eastAsia="SimSun" w:cstheme="minorHAnsi"/>
          <w:i w:val="0"/>
          <w:iCs w:val="0"/>
          <w:szCs w:val="24"/>
          <w:lang w:val="fr-FR"/>
        </w:rPr>
        <w:t>C</w:t>
      </w:r>
      <w:r w:rsidRPr="006A2914">
        <w:rPr>
          <w:rStyle w:val="acopre"/>
          <w:rFonts w:cstheme="minorHAnsi"/>
          <w:i/>
          <w:iCs/>
          <w:szCs w:val="24"/>
          <w:lang w:val="fr-FR"/>
        </w:rPr>
        <w:t>:</w:t>
      </w:r>
      <w:r w:rsidRPr="00D47314">
        <w:rPr>
          <w:rStyle w:val="acopre"/>
          <w:rFonts w:cstheme="minorHAnsi"/>
          <w:szCs w:val="24"/>
          <w:lang w:val="fr-FR"/>
        </w:rPr>
        <w:t>2013:107</w:t>
      </w:r>
    </w:p>
    <w:p w14:paraId="06F02C0F" w14:textId="272EAD47" w:rsidR="00536522" w:rsidRPr="00D47314" w:rsidRDefault="00536522">
      <w:pPr>
        <w:pStyle w:val="ListParagraph"/>
        <w:numPr>
          <w:ilvl w:val="0"/>
          <w:numId w:val="12"/>
        </w:numPr>
        <w:rPr>
          <w:rFonts w:cstheme="minorHAnsi"/>
          <w:szCs w:val="24"/>
          <w:lang w:val="fr-FR"/>
        </w:rPr>
      </w:pPr>
      <w:r w:rsidRPr="00D47314">
        <w:rPr>
          <w:rFonts w:cstheme="minorHAnsi"/>
          <w:szCs w:val="24"/>
          <w:lang w:val="fr-FR"/>
        </w:rPr>
        <w:t xml:space="preserve">C-176/12 </w:t>
      </w:r>
      <w:r w:rsidRPr="00D47314">
        <w:rPr>
          <w:rFonts w:cstheme="minorHAnsi"/>
          <w:i/>
          <w:szCs w:val="24"/>
          <w:lang w:val="fr-FR"/>
        </w:rPr>
        <w:t>Association de Medation Sociale</w:t>
      </w:r>
      <w:r w:rsidRPr="00D47314">
        <w:rPr>
          <w:rFonts w:cstheme="minorHAnsi"/>
          <w:szCs w:val="24"/>
          <w:lang w:val="fr-FR"/>
        </w:rPr>
        <w:t xml:space="preserve"> </w:t>
      </w:r>
      <w:r w:rsidRPr="00D47314">
        <w:rPr>
          <w:rStyle w:val="acopre"/>
          <w:rFonts w:cstheme="minorHAnsi"/>
          <w:szCs w:val="24"/>
          <w:lang w:val="fr-FR"/>
        </w:rPr>
        <w:t>EU:</w:t>
      </w:r>
      <w:r w:rsidRPr="006A2914">
        <w:rPr>
          <w:rStyle w:val="Emphasis"/>
          <w:rFonts w:eastAsia="SimSun" w:cstheme="minorHAnsi"/>
          <w:i w:val="0"/>
          <w:iCs w:val="0"/>
          <w:szCs w:val="24"/>
          <w:lang w:val="fr-FR"/>
        </w:rPr>
        <w:t>C</w:t>
      </w:r>
      <w:r w:rsidRPr="00D47314">
        <w:rPr>
          <w:rStyle w:val="acopre"/>
          <w:rFonts w:cstheme="minorHAnsi"/>
          <w:szCs w:val="24"/>
          <w:lang w:val="fr-FR"/>
        </w:rPr>
        <w:t>:2014:2</w:t>
      </w:r>
    </w:p>
    <w:p w14:paraId="1053432A" w14:textId="44BA40FA" w:rsidR="006A7892" w:rsidRPr="00D47314" w:rsidRDefault="00536522">
      <w:pPr>
        <w:pStyle w:val="ListParagraph"/>
        <w:numPr>
          <w:ilvl w:val="0"/>
          <w:numId w:val="12"/>
        </w:numPr>
        <w:rPr>
          <w:rStyle w:val="outputecliaff"/>
          <w:rFonts w:cstheme="minorHAnsi"/>
          <w:szCs w:val="24"/>
          <w:lang w:val="de-AT"/>
        </w:rPr>
      </w:pPr>
      <w:r w:rsidRPr="00D47314">
        <w:rPr>
          <w:rFonts w:cstheme="minorHAnsi"/>
          <w:szCs w:val="24"/>
          <w:lang w:val="de-AT"/>
        </w:rPr>
        <w:t xml:space="preserve">C-569/16 and C-570/16 </w:t>
      </w:r>
      <w:r w:rsidRPr="00D47314">
        <w:rPr>
          <w:rFonts w:cstheme="minorHAnsi"/>
          <w:i/>
          <w:szCs w:val="24"/>
          <w:lang w:val="de-AT"/>
        </w:rPr>
        <w:t xml:space="preserve">Bauer </w:t>
      </w:r>
      <w:r w:rsidRPr="00D47314">
        <w:rPr>
          <w:rStyle w:val="outputecliaff"/>
          <w:rFonts w:cstheme="minorHAnsi"/>
          <w:szCs w:val="24"/>
          <w:lang w:val="de-AT"/>
        </w:rPr>
        <w:t>EU:C:2018:871</w:t>
      </w:r>
    </w:p>
    <w:p w14:paraId="213A5EEE" w14:textId="20DC7BBA" w:rsidR="00BB076A" w:rsidRPr="005402ED" w:rsidRDefault="00BB076A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>
        <w:rPr>
          <w:rStyle w:val="acopre"/>
          <w:rFonts w:cstheme="minorHAnsi"/>
          <w:szCs w:val="24"/>
        </w:rPr>
        <w:t>C-</w:t>
      </w:r>
      <w:r w:rsidR="00536522">
        <w:rPr>
          <w:rStyle w:val="acopre"/>
          <w:rFonts w:cstheme="minorHAnsi"/>
          <w:szCs w:val="24"/>
        </w:rPr>
        <w:t xml:space="preserve">414/16 </w:t>
      </w:r>
      <w:r w:rsidR="00536522" w:rsidRPr="00536522">
        <w:rPr>
          <w:rStyle w:val="acopre"/>
          <w:rFonts w:cstheme="minorHAnsi"/>
          <w:i/>
          <w:iCs/>
          <w:szCs w:val="24"/>
        </w:rPr>
        <w:t xml:space="preserve">Egenberger </w:t>
      </w:r>
      <w:r w:rsidR="006A2914">
        <w:rPr>
          <w:rStyle w:val="outputecliaff"/>
        </w:rPr>
        <w:t>EU:C:2018:257</w:t>
      </w:r>
    </w:p>
    <w:p w14:paraId="3A0D8AC9" w14:textId="521228F3" w:rsidR="00E539CE" w:rsidRPr="00EC10F2" w:rsidRDefault="00E539CE" w:rsidP="00EC10F2">
      <w:pPr>
        <w:pStyle w:val="Heading3"/>
        <w:rPr>
          <w:rStyle w:val="outputecliaff"/>
        </w:rPr>
      </w:pPr>
      <w:r w:rsidRPr="00651CFF">
        <w:t>Cases for presentation</w:t>
      </w:r>
    </w:p>
    <w:p w14:paraId="426142E0" w14:textId="77777777" w:rsidR="00EC10F2" w:rsidRPr="00D47314" w:rsidRDefault="00EC10F2">
      <w:pPr>
        <w:pStyle w:val="ListParagraph"/>
        <w:numPr>
          <w:ilvl w:val="0"/>
          <w:numId w:val="12"/>
        </w:numPr>
        <w:rPr>
          <w:rStyle w:val="outputecliaff"/>
          <w:sz w:val="27"/>
          <w:szCs w:val="27"/>
          <w:lang w:val="de-AT"/>
        </w:rPr>
      </w:pPr>
      <w:r w:rsidRPr="00D47314">
        <w:rPr>
          <w:szCs w:val="24"/>
          <w:lang w:val="de-AT"/>
        </w:rPr>
        <w:t xml:space="preserve">C-469/17 </w:t>
      </w:r>
      <w:r w:rsidRPr="00D47314">
        <w:rPr>
          <w:i/>
          <w:iCs/>
          <w:szCs w:val="24"/>
          <w:lang w:val="de-AT"/>
        </w:rPr>
        <w:t xml:space="preserve">Funke Medien </w:t>
      </w:r>
      <w:r w:rsidRPr="00D47314">
        <w:rPr>
          <w:szCs w:val="24"/>
          <w:lang w:val="de-AT"/>
        </w:rPr>
        <w:t>EU:C:2019:623; or C-476/17</w:t>
      </w:r>
      <w:r w:rsidRPr="00D47314">
        <w:rPr>
          <w:i/>
          <w:iCs/>
          <w:szCs w:val="24"/>
          <w:lang w:val="de-AT"/>
        </w:rPr>
        <w:t xml:space="preserve">, Pelham </w:t>
      </w:r>
      <w:r w:rsidRPr="00D47314">
        <w:rPr>
          <w:rStyle w:val="outputecliaff"/>
          <w:szCs w:val="24"/>
          <w:lang w:val="de-AT"/>
        </w:rPr>
        <w:t xml:space="preserve">EU:C:2019:624 </w:t>
      </w:r>
      <w:r w:rsidRPr="00D47314">
        <w:rPr>
          <w:szCs w:val="24"/>
          <w:lang w:val="de-AT"/>
        </w:rPr>
        <w:t xml:space="preserve">or C-516/17, </w:t>
      </w:r>
      <w:r w:rsidRPr="00D47314">
        <w:rPr>
          <w:i/>
          <w:iCs/>
          <w:szCs w:val="24"/>
          <w:lang w:val="de-AT"/>
        </w:rPr>
        <w:t xml:space="preserve">Spiegel Online </w:t>
      </w:r>
      <w:r w:rsidRPr="00D47314">
        <w:rPr>
          <w:rStyle w:val="outputecliaff"/>
          <w:szCs w:val="24"/>
          <w:lang w:val="de-AT"/>
        </w:rPr>
        <w:t xml:space="preserve">EU:C:2019:625 </w:t>
      </w:r>
    </w:p>
    <w:p w14:paraId="34B52B19" w14:textId="12AAC836" w:rsidR="00415AF5" w:rsidRPr="00415AF5" w:rsidRDefault="00415AF5">
      <w:pPr>
        <w:pStyle w:val="ListParagraph"/>
        <w:numPr>
          <w:ilvl w:val="0"/>
          <w:numId w:val="12"/>
        </w:numPr>
        <w:rPr>
          <w:rStyle w:val="outputecliaff"/>
          <w:sz w:val="27"/>
          <w:szCs w:val="27"/>
        </w:rPr>
      </w:pPr>
      <w:r>
        <w:rPr>
          <w:rStyle w:val="outputecliaff"/>
        </w:rPr>
        <w:t>C-</w:t>
      </w:r>
      <w:r w:rsidR="001301D0">
        <w:rPr>
          <w:rStyle w:val="outputecliaff"/>
        </w:rPr>
        <w:t>362/14</w:t>
      </w:r>
      <w:r>
        <w:rPr>
          <w:rStyle w:val="outputecliaff"/>
        </w:rPr>
        <w:t xml:space="preserve"> </w:t>
      </w:r>
      <w:r w:rsidRPr="001301D0">
        <w:rPr>
          <w:rStyle w:val="outputecliaff"/>
          <w:i/>
          <w:iCs/>
        </w:rPr>
        <w:t>Schrems</w:t>
      </w:r>
      <w:r w:rsidR="001301D0">
        <w:rPr>
          <w:rStyle w:val="outputecliaff"/>
        </w:rPr>
        <w:t xml:space="preserve"> EU:C:2015:650</w:t>
      </w:r>
    </w:p>
    <w:p w14:paraId="5CD1E304" w14:textId="77777777" w:rsidR="00420379" w:rsidRPr="00420379" w:rsidRDefault="00DA6F4F">
      <w:pPr>
        <w:pStyle w:val="ListParagraph"/>
        <w:numPr>
          <w:ilvl w:val="0"/>
          <w:numId w:val="12"/>
        </w:numPr>
        <w:rPr>
          <w:rStyle w:val="outputecliaff"/>
          <w:sz w:val="27"/>
          <w:szCs w:val="27"/>
        </w:rPr>
      </w:pPr>
      <w:r>
        <w:t xml:space="preserve">Joined Cases </w:t>
      </w:r>
      <w:r w:rsidRPr="00DA6F4F">
        <w:t>C-203/15</w:t>
      </w:r>
      <w:r>
        <w:t xml:space="preserve"> and C-698/15 </w:t>
      </w:r>
      <w:r w:rsidR="00415AF5" w:rsidRPr="00516E14">
        <w:rPr>
          <w:rStyle w:val="outputecliaff"/>
          <w:i/>
          <w:iCs/>
        </w:rPr>
        <w:t>Tele</w:t>
      </w:r>
      <w:r w:rsidRPr="00516E14">
        <w:rPr>
          <w:rStyle w:val="outputecliaff"/>
          <w:i/>
          <w:iCs/>
        </w:rPr>
        <w:t>2</w:t>
      </w:r>
      <w:r w:rsidR="00415AF5" w:rsidRPr="00516E14">
        <w:rPr>
          <w:rStyle w:val="outputecliaff"/>
          <w:i/>
          <w:iCs/>
        </w:rPr>
        <w:t>sverige</w:t>
      </w:r>
      <w:r w:rsidR="00415AF5">
        <w:rPr>
          <w:rStyle w:val="outputecliaff"/>
        </w:rPr>
        <w:t xml:space="preserve"> EU:C:2016:970</w:t>
      </w:r>
    </w:p>
    <w:p w14:paraId="02B01EF8" w14:textId="77777777" w:rsidR="006A7892" w:rsidRPr="006A7892" w:rsidRDefault="00420379">
      <w:pPr>
        <w:pStyle w:val="ListParagraph"/>
        <w:numPr>
          <w:ilvl w:val="0"/>
          <w:numId w:val="12"/>
        </w:numPr>
        <w:rPr>
          <w:rStyle w:val="outputecliaff"/>
          <w:sz w:val="27"/>
          <w:szCs w:val="27"/>
        </w:rPr>
      </w:pPr>
      <w:r>
        <w:rPr>
          <w:rStyle w:val="outputecliaff"/>
        </w:rPr>
        <w:t xml:space="preserve">Opinion 1/15 EU:C:2016:656 </w:t>
      </w:r>
    </w:p>
    <w:p w14:paraId="39A0B03D" w14:textId="77777777" w:rsidR="006A7892" w:rsidRPr="00541EA0" w:rsidRDefault="00000000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hyperlink r:id="rId33" w:history="1">
        <w:r w:rsidR="006A7892" w:rsidRPr="00541EA0">
          <w:rPr>
            <w:rStyle w:val="Hyperlink"/>
            <w:color w:val="auto"/>
            <w:szCs w:val="24"/>
            <w:u w:val="none"/>
          </w:rPr>
          <w:t xml:space="preserve">C-490/20 </w:t>
        </w:r>
        <w:r w:rsidR="006A7892" w:rsidRPr="00541EA0">
          <w:rPr>
            <w:rStyle w:val="Emphasis"/>
            <w:szCs w:val="24"/>
          </w:rPr>
          <w:t>V.M.A.</w:t>
        </w:r>
      </w:hyperlink>
      <w:r w:rsidR="006A7892" w:rsidRPr="00541EA0">
        <w:rPr>
          <w:szCs w:val="24"/>
        </w:rPr>
        <w:t xml:space="preserve">  </w:t>
      </w:r>
      <w:r w:rsidR="006A7892" w:rsidRPr="00541EA0">
        <w:rPr>
          <w:rStyle w:val="outputecliaff"/>
          <w:szCs w:val="24"/>
        </w:rPr>
        <w:t>EU:C:2021:1008</w:t>
      </w:r>
    </w:p>
    <w:p w14:paraId="6495EB14" w14:textId="77777777" w:rsidR="006A7892" w:rsidRPr="00541EA0" w:rsidRDefault="006A7892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 w:rsidRPr="00541EA0">
        <w:rPr>
          <w:szCs w:val="24"/>
        </w:rPr>
        <w:t>C</w:t>
      </w:r>
      <w:r w:rsidRPr="00541EA0">
        <w:rPr>
          <w:szCs w:val="24"/>
        </w:rPr>
        <w:noBreakHyphen/>
        <w:t xml:space="preserve">709/20 </w:t>
      </w:r>
      <w:r w:rsidRPr="00541EA0">
        <w:rPr>
          <w:i/>
          <w:iCs/>
          <w:szCs w:val="24"/>
        </w:rPr>
        <w:t xml:space="preserve">CG </w:t>
      </w:r>
      <w:r w:rsidRPr="00541EA0">
        <w:rPr>
          <w:rStyle w:val="outputecliaff"/>
          <w:szCs w:val="24"/>
        </w:rPr>
        <w:t>EU:C:2021:602</w:t>
      </w:r>
    </w:p>
    <w:p w14:paraId="61BE207D" w14:textId="77777777" w:rsidR="00245836" w:rsidRPr="00245836" w:rsidRDefault="006A7892">
      <w:pPr>
        <w:pStyle w:val="ListParagraph"/>
        <w:numPr>
          <w:ilvl w:val="0"/>
          <w:numId w:val="12"/>
        </w:numPr>
        <w:rPr>
          <w:rStyle w:val="outputecliaff"/>
          <w:sz w:val="27"/>
          <w:szCs w:val="27"/>
        </w:rPr>
      </w:pPr>
      <w:r>
        <w:rPr>
          <w:rStyle w:val="outputecliaff"/>
          <w:szCs w:val="24"/>
        </w:rPr>
        <w:t>C-350/20</w:t>
      </w:r>
      <w:r w:rsidRPr="00C70D35">
        <w:rPr>
          <w:rStyle w:val="outputecliaff"/>
          <w:i/>
          <w:iCs/>
          <w:szCs w:val="24"/>
        </w:rPr>
        <w:t xml:space="preserve"> INPS </w:t>
      </w:r>
      <w:r>
        <w:rPr>
          <w:rStyle w:val="outputecliaff"/>
        </w:rPr>
        <w:t>EU:C:2021:659</w:t>
      </w:r>
    </w:p>
    <w:p w14:paraId="39A82D44" w14:textId="0669735E" w:rsidR="002509E5" w:rsidRPr="00245836" w:rsidRDefault="00245836">
      <w:pPr>
        <w:pStyle w:val="ListParagraph"/>
        <w:numPr>
          <w:ilvl w:val="0"/>
          <w:numId w:val="12"/>
        </w:numPr>
        <w:rPr>
          <w:sz w:val="27"/>
          <w:szCs w:val="27"/>
        </w:rPr>
      </w:pPr>
      <w:r>
        <w:t xml:space="preserve">Case C-78/18, </w:t>
      </w:r>
      <w:r w:rsidRPr="00245836">
        <w:rPr>
          <w:i/>
          <w:iCs/>
        </w:rPr>
        <w:t>Commission v. Hungary</w:t>
      </w:r>
      <w:r>
        <w:t xml:space="preserve"> (Transparency of associations)</w:t>
      </w:r>
      <w:r>
        <w:br/>
        <w:t>EU:C:2020:476</w:t>
      </w:r>
      <w:r w:rsidR="004C53C9" w:rsidRPr="006116E9">
        <w:br/>
      </w:r>
    </w:p>
    <w:p w14:paraId="4940E5CD" w14:textId="458F1D2D" w:rsidR="00512F4E" w:rsidRPr="00F4362C" w:rsidRDefault="00411BE7" w:rsidP="00350A80">
      <w:pPr>
        <w:pStyle w:val="Heading2"/>
      </w:pPr>
      <w:r w:rsidRPr="00F4362C">
        <w:t>9-10</w:t>
      </w:r>
      <w:r w:rsidR="00D13ED9" w:rsidRPr="00F4362C">
        <w:t xml:space="preserve"> </w:t>
      </w:r>
      <w:r w:rsidR="00512F4E" w:rsidRPr="00F4362C">
        <w:t xml:space="preserve">EU </w:t>
      </w:r>
      <w:r w:rsidR="00D47314" w:rsidRPr="00F4362C">
        <w:t xml:space="preserve">legislation </w:t>
      </w:r>
      <w:r w:rsidR="00F4362C" w:rsidRPr="00F4362C">
        <w:t xml:space="preserve">and the </w:t>
      </w:r>
      <w:r w:rsidR="00076E6E" w:rsidRPr="00F4362C">
        <w:t>protecti</w:t>
      </w:r>
      <w:r w:rsidR="002321B2">
        <w:t>on</w:t>
      </w:r>
      <w:r w:rsidR="00076E6E" w:rsidRPr="00F4362C">
        <w:t xml:space="preserve"> </w:t>
      </w:r>
      <w:r w:rsidR="00F4362C">
        <w:t xml:space="preserve">of </w:t>
      </w:r>
      <w:r w:rsidR="00076E6E" w:rsidRPr="00F4362C">
        <w:t>fundamental rights</w:t>
      </w:r>
      <w:r w:rsidR="00512F4E" w:rsidRPr="00F4362C">
        <w:t xml:space="preserve"> [non-discrimination</w:t>
      </w:r>
      <w:r w:rsidR="00E539CE" w:rsidRPr="00F4362C">
        <w:t>/</w:t>
      </w:r>
      <w:r w:rsidR="00512F4E" w:rsidRPr="00F4362C">
        <w:t xml:space="preserve"> data protection</w:t>
      </w:r>
      <w:r w:rsidR="00076E6E" w:rsidRPr="00F4362C">
        <w:t>/environment</w:t>
      </w:r>
      <w:r w:rsidR="00512F4E" w:rsidRPr="00F4362C">
        <w:t xml:space="preserve">] </w:t>
      </w:r>
    </w:p>
    <w:p w14:paraId="5A4A6438" w14:textId="77777777" w:rsidR="00F4098F" w:rsidRDefault="00F4098F" w:rsidP="002E6E72"/>
    <w:p w14:paraId="05290247" w14:textId="2E702A55" w:rsidR="00F4098F" w:rsidRDefault="00977BEE" w:rsidP="002E6E72">
      <w:r>
        <w:t>The</w:t>
      </w:r>
      <w:r w:rsidR="001E4474">
        <w:t xml:space="preserve"> </w:t>
      </w:r>
      <w:r>
        <w:t xml:space="preserve">EU Treaties confer only limited competences </w:t>
      </w:r>
      <w:r w:rsidR="0053433B">
        <w:t>to</w:t>
      </w:r>
      <w:r>
        <w:t xml:space="preserve"> the EU to legislate</w:t>
      </w:r>
      <w:r w:rsidR="00D8745C">
        <w:t xml:space="preserve"> on </w:t>
      </w:r>
      <w:r w:rsidR="0053433B">
        <w:t xml:space="preserve">fundamental </w:t>
      </w:r>
      <w:r w:rsidR="001E4474">
        <w:t>human rights</w:t>
      </w:r>
      <w:r>
        <w:t xml:space="preserve">. Where they exist, </w:t>
      </w:r>
      <w:r w:rsidR="001E4474">
        <w:t xml:space="preserve">the EU has </w:t>
      </w:r>
      <w:r w:rsidR="00BF58D3">
        <w:t>been able to adopt legislation harmonizing</w:t>
      </w:r>
      <w:r w:rsidR="0053433B">
        <w:t xml:space="preserve"> </w:t>
      </w:r>
      <w:r w:rsidR="00A87439">
        <w:t xml:space="preserve">and, in some cases, improving, the </w:t>
      </w:r>
      <w:r w:rsidR="00BF58D3">
        <w:t>protection</w:t>
      </w:r>
      <w:r w:rsidR="00A87439">
        <w:t xml:space="preserve"> of specific</w:t>
      </w:r>
      <w:r w:rsidR="00BF58D3">
        <w:t xml:space="preserve"> fundamental rights. Moreover,</w:t>
      </w:r>
      <w:r w:rsidR="00F318E6">
        <w:t xml:space="preserve"> </w:t>
      </w:r>
      <w:r w:rsidR="00BF58D3">
        <w:t>t</w:t>
      </w:r>
      <w:r w:rsidR="00F318E6">
        <w:t xml:space="preserve">he EU has </w:t>
      </w:r>
      <w:r w:rsidR="0095140A">
        <w:t>relied</w:t>
      </w:r>
      <w:r w:rsidR="00F318E6">
        <w:t xml:space="preserve"> on </w:t>
      </w:r>
      <w:r w:rsidR="0095140A">
        <w:t>‘</w:t>
      </w:r>
      <w:r w:rsidR="00F318E6">
        <w:t>other</w:t>
      </w:r>
      <w:r w:rsidR="0095140A">
        <w:t>’</w:t>
      </w:r>
      <w:r w:rsidR="00F318E6">
        <w:t xml:space="preserve">  </w:t>
      </w:r>
      <w:r w:rsidR="00F129E2">
        <w:t>legal</w:t>
      </w:r>
      <w:r w:rsidR="00550530">
        <w:t xml:space="preserve"> (Treaty)</w:t>
      </w:r>
      <w:r w:rsidR="00F129E2">
        <w:t xml:space="preserve"> bas</w:t>
      </w:r>
      <w:r w:rsidR="009C4816">
        <w:t xml:space="preserve">es </w:t>
      </w:r>
      <w:r w:rsidR="00A424C6">
        <w:t>(eg internal market, justice and home affairs, etc)</w:t>
      </w:r>
      <w:r w:rsidR="00F318E6">
        <w:t xml:space="preserve">to adopt legislation that contributes to </w:t>
      </w:r>
      <w:r w:rsidR="0095140A">
        <w:t xml:space="preserve">further </w:t>
      </w:r>
      <w:r w:rsidR="00F318E6">
        <w:t>protect and promote</w:t>
      </w:r>
      <w:r w:rsidR="009C4816">
        <w:t xml:space="preserve"> </w:t>
      </w:r>
      <w:r w:rsidR="00F318E6">
        <w:t>fundamental rights</w:t>
      </w:r>
      <w:r w:rsidR="009C4816">
        <w:t xml:space="preserve">. Finally, EU </w:t>
      </w:r>
      <w:r w:rsidR="00E70EC4">
        <w:t>policies</w:t>
      </w:r>
      <w:r w:rsidR="00237298">
        <w:t>, including legislative and regulatory acts,</w:t>
      </w:r>
      <w:r w:rsidR="00E70EC4">
        <w:t xml:space="preserve"> </w:t>
      </w:r>
      <w:r w:rsidR="00C34D72">
        <w:t xml:space="preserve">must be </w:t>
      </w:r>
      <w:r w:rsidR="00A424C6">
        <w:t>designed and implemented in compliance with the Charter.</w:t>
      </w:r>
      <w:r w:rsidR="000B411F">
        <w:t xml:space="preserve"> </w:t>
      </w:r>
    </w:p>
    <w:p w14:paraId="08C27E24" w14:textId="77777777" w:rsidR="00F4098F" w:rsidRDefault="00F4098F" w:rsidP="002E6E72"/>
    <w:p w14:paraId="616D783D" w14:textId="19DEF416" w:rsidR="001E4474" w:rsidRPr="001E4474" w:rsidRDefault="00556D14" w:rsidP="002E6E72">
      <w:r>
        <w:t xml:space="preserve">Discussion questions: </w:t>
      </w:r>
      <w:r w:rsidR="001B059C">
        <w:t>Which</w:t>
      </w:r>
      <w:r w:rsidR="0041713B">
        <w:t xml:space="preserve"> legislation has the EU </w:t>
      </w:r>
      <w:r w:rsidR="001B059C">
        <w:t xml:space="preserve">been able to adopt based on dedicated fundamental rights’ legal bases? </w:t>
      </w:r>
      <w:r w:rsidR="00DC10AE">
        <w:t>H</w:t>
      </w:r>
      <w:r w:rsidR="000B411F">
        <w:t>ow easy/difficult is it and why?</w:t>
      </w:r>
      <w:r w:rsidR="00AB06E5">
        <w:t xml:space="preserve"> </w:t>
      </w:r>
      <w:r w:rsidR="00A57E63">
        <w:t xml:space="preserve">To what extent can the EU legislator rely on ‘other’ legal basis to adopt legislation for the protection of fundamental rights? </w:t>
      </w:r>
      <w:r w:rsidR="00B57A3B">
        <w:t xml:space="preserve">Does it warrant the criticism of ‘competence creep’? </w:t>
      </w:r>
      <w:r w:rsidR="00663795">
        <w:t xml:space="preserve">How </w:t>
      </w:r>
      <w:r w:rsidR="000B1867">
        <w:t>does EU legislation cope with</w:t>
      </w:r>
      <w:r w:rsidR="00663795">
        <w:t xml:space="preserve"> </w:t>
      </w:r>
      <w:r w:rsidR="000B1867">
        <w:t xml:space="preserve">the </w:t>
      </w:r>
      <w:r w:rsidR="003F28AF">
        <w:t xml:space="preserve">human rights </w:t>
      </w:r>
      <w:r w:rsidR="000B1867">
        <w:t xml:space="preserve">challenges posed by </w:t>
      </w:r>
      <w:r w:rsidR="00AC0F3B">
        <w:t xml:space="preserve">fast moving </w:t>
      </w:r>
      <w:r w:rsidR="000B1867">
        <w:t>technological change and various crises</w:t>
      </w:r>
      <w:r w:rsidR="00AC0F3B">
        <w:t>?</w:t>
      </w:r>
      <w:r w:rsidR="000B411F">
        <w:t xml:space="preserve"> </w:t>
      </w:r>
      <w:r w:rsidR="00E2321C">
        <w:t>How thorough</w:t>
      </w:r>
      <w:r w:rsidR="00AE2BAA">
        <w:t>ly</w:t>
      </w:r>
      <w:r w:rsidR="00E2321C">
        <w:t xml:space="preserve"> is </w:t>
      </w:r>
      <w:r w:rsidR="00B57A3B">
        <w:t xml:space="preserve">proposed </w:t>
      </w:r>
      <w:r w:rsidR="00E2321C">
        <w:t>EU legislation checked against the Charter?</w:t>
      </w:r>
      <w:r w:rsidR="00CC6DFE">
        <w:t xml:space="preserve"> What</w:t>
      </w:r>
      <w:r w:rsidR="004552C6">
        <w:t xml:space="preserve">, if any, is the role of citizens and civil society in </w:t>
      </w:r>
      <w:r w:rsidR="00CD2FD5">
        <w:t>pushing for more protective EU legislation (eg via the ECI)?</w:t>
      </w:r>
    </w:p>
    <w:p w14:paraId="0E0F58C4" w14:textId="77777777" w:rsidR="0009167E" w:rsidRDefault="0009167E" w:rsidP="00000685"/>
    <w:p w14:paraId="72ACD17D" w14:textId="77777777" w:rsidR="00000685" w:rsidRPr="00651CFF" w:rsidRDefault="00000685" w:rsidP="00000685">
      <w:pPr>
        <w:pStyle w:val="Heading3"/>
      </w:pPr>
      <w:r w:rsidRPr="00651CFF">
        <w:t>Preparation for the class</w:t>
      </w:r>
    </w:p>
    <w:p w14:paraId="6AEDA756" w14:textId="5983E601" w:rsidR="00000685" w:rsidRDefault="00000685" w:rsidP="00000685">
      <w:pPr>
        <w:rPr>
          <w:rFonts w:cs="Calibri"/>
        </w:rPr>
      </w:pPr>
      <w:r w:rsidRPr="00651CFF">
        <w:rPr>
          <w:rFonts w:cs="Calibri"/>
        </w:rPr>
        <w:t>Peruse through EU websites</w:t>
      </w:r>
      <w:r>
        <w:rPr>
          <w:rFonts w:cs="Calibri"/>
        </w:rPr>
        <w:t xml:space="preserve"> or reports,</w:t>
      </w:r>
      <w:r w:rsidRPr="00651CFF">
        <w:rPr>
          <w:rFonts w:cs="Calibri"/>
        </w:rPr>
        <w:t xml:space="preserve"> recent news sites,</w:t>
      </w:r>
      <w:r>
        <w:rPr>
          <w:rFonts w:cs="Calibri"/>
        </w:rPr>
        <w:t xml:space="preserve"> or </w:t>
      </w:r>
      <w:r w:rsidR="0009212B">
        <w:rPr>
          <w:rFonts w:cs="Calibri"/>
        </w:rPr>
        <w:t xml:space="preserve">consult </w:t>
      </w:r>
      <w:r w:rsidRPr="00651CFF">
        <w:rPr>
          <w:rFonts w:cs="Calibri"/>
        </w:rPr>
        <w:t xml:space="preserve">the EU </w:t>
      </w:r>
      <w:r>
        <w:rPr>
          <w:rFonts w:cs="Calibri"/>
        </w:rPr>
        <w:t>‘</w:t>
      </w:r>
      <w:r w:rsidRPr="00651CFF">
        <w:rPr>
          <w:rFonts w:cs="Calibri"/>
        </w:rPr>
        <w:t>legislative train</w:t>
      </w:r>
      <w:r>
        <w:rPr>
          <w:rFonts w:cs="Calibri"/>
        </w:rPr>
        <w:t>’.</w:t>
      </w:r>
    </w:p>
    <w:p w14:paraId="3A39830E" w14:textId="0B414B7C" w:rsidR="00000685" w:rsidRPr="00A11567" w:rsidRDefault="00000685">
      <w:pPr>
        <w:pStyle w:val="ListParagraph"/>
        <w:numPr>
          <w:ilvl w:val="0"/>
          <w:numId w:val="17"/>
        </w:numPr>
        <w:rPr>
          <w:i/>
        </w:rPr>
      </w:pPr>
      <w:r w:rsidRPr="0009212B">
        <w:rPr>
          <w:rFonts w:cs="Calibri"/>
          <w:i/>
          <w:iCs/>
        </w:rPr>
        <w:lastRenderedPageBreak/>
        <w:t>Identify a recent proposal for EU legislation, or recently adopted EU legislative measure,</w:t>
      </w:r>
      <w:r w:rsidRPr="00280399">
        <w:rPr>
          <w:rFonts w:cs="Calibri"/>
        </w:rPr>
        <w:t xml:space="preserve"> which is </w:t>
      </w:r>
      <w:r w:rsidR="00184B84">
        <w:rPr>
          <w:rFonts w:cs="Calibri"/>
        </w:rPr>
        <w:t>designed to</w:t>
      </w:r>
      <w:r w:rsidRPr="00280399">
        <w:rPr>
          <w:rFonts w:cs="Calibri"/>
        </w:rPr>
        <w:t xml:space="preserve"> </w:t>
      </w:r>
      <w:r w:rsidRPr="00184B84">
        <w:rPr>
          <w:rFonts w:cs="Calibri"/>
          <w:i/>
          <w:iCs/>
        </w:rPr>
        <w:t>provide protection for fundamental rights</w:t>
      </w:r>
      <w:r w:rsidR="00184B84">
        <w:rPr>
          <w:rFonts w:cs="Calibri"/>
        </w:rPr>
        <w:t>.</w:t>
      </w:r>
      <w:r w:rsidRPr="00280399">
        <w:rPr>
          <w:rFonts w:cs="Calibri"/>
        </w:rPr>
        <w:t xml:space="preserve"> </w:t>
      </w:r>
      <w:r w:rsidRPr="00651CFF">
        <w:t>Check its (p</w:t>
      </w:r>
      <w:r>
        <w:t>ropose</w:t>
      </w:r>
      <w:r w:rsidRPr="00651CFF">
        <w:t>d) legal basi</w:t>
      </w:r>
      <w:r>
        <w:t>s, its main provisions,</w:t>
      </w:r>
      <w:r w:rsidRPr="00651CFF">
        <w:t xml:space="preserve"> </w:t>
      </w:r>
      <w:r>
        <w:t xml:space="preserve">and scope, </w:t>
      </w:r>
      <w:r w:rsidRPr="00651CFF">
        <w:t>and be ready to talk about it in class</w:t>
      </w:r>
      <w:r>
        <w:t>.</w:t>
      </w:r>
    </w:p>
    <w:p w14:paraId="4B6590D1" w14:textId="77777777" w:rsidR="00000685" w:rsidRPr="00A11567" w:rsidRDefault="00000685" w:rsidP="00000685">
      <w:pPr>
        <w:rPr>
          <w:i/>
        </w:rPr>
      </w:pPr>
      <w:r>
        <w:t xml:space="preserve">OR </w:t>
      </w:r>
    </w:p>
    <w:p w14:paraId="12718EE0" w14:textId="77777777" w:rsidR="00000685" w:rsidRPr="00280399" w:rsidRDefault="00000685">
      <w:pPr>
        <w:pStyle w:val="ListParagraph"/>
        <w:numPr>
          <w:ilvl w:val="0"/>
          <w:numId w:val="17"/>
        </w:numPr>
        <w:rPr>
          <w:i/>
        </w:rPr>
      </w:pPr>
      <w:r w:rsidRPr="00184B84">
        <w:rPr>
          <w:i/>
          <w:iCs/>
        </w:rPr>
        <w:t>Identify</w:t>
      </w:r>
      <w:r w:rsidRPr="00184B84">
        <w:rPr>
          <w:rFonts w:cs="Calibri"/>
          <w:i/>
          <w:iCs/>
        </w:rPr>
        <w:t xml:space="preserve"> a recent proposal for EU legislation</w:t>
      </w:r>
      <w:r w:rsidRPr="00280399">
        <w:rPr>
          <w:rFonts w:cs="Calibri"/>
        </w:rPr>
        <w:t xml:space="preserve">, or recently adopted legislative measure, the application and implementation of which could </w:t>
      </w:r>
      <w:r w:rsidRPr="00184B84">
        <w:rPr>
          <w:rFonts w:cs="Calibri"/>
          <w:i/>
          <w:iCs/>
        </w:rPr>
        <w:t>threaten fundamental human rights</w:t>
      </w:r>
      <w:r w:rsidRPr="00280399">
        <w:rPr>
          <w:rFonts w:cs="Calibri"/>
        </w:rPr>
        <w:t>. Check how possible human rights implications have been considered during the adoption and drafting of the proposal.</w:t>
      </w:r>
    </w:p>
    <w:p w14:paraId="2982DEE6" w14:textId="77777777" w:rsidR="00000685" w:rsidRPr="00280399" w:rsidRDefault="00000685" w:rsidP="00000685">
      <w:pPr>
        <w:rPr>
          <w:iCs/>
        </w:rPr>
      </w:pPr>
      <w:r w:rsidRPr="00280399">
        <w:rPr>
          <w:iCs/>
        </w:rPr>
        <w:t xml:space="preserve">Share a summary of your findings on the class </w:t>
      </w:r>
      <w:r w:rsidRPr="00E07777">
        <w:rPr>
          <w:iCs/>
          <w:highlight w:val="yellow"/>
        </w:rPr>
        <w:t>wiki.</w:t>
      </w:r>
    </w:p>
    <w:p w14:paraId="0358D253" w14:textId="59DF2A7A" w:rsidR="00633693" w:rsidRPr="00651CFF" w:rsidRDefault="00633693" w:rsidP="00350A80">
      <w:pPr>
        <w:pStyle w:val="Heading3"/>
      </w:pPr>
      <w:r w:rsidRPr="00651CFF">
        <w:t>Mandatory reading</w:t>
      </w:r>
    </w:p>
    <w:p w14:paraId="088C58E3" w14:textId="77777777" w:rsidR="00576EA0" w:rsidRPr="008D06B5" w:rsidRDefault="00576EA0">
      <w:pPr>
        <w:pStyle w:val="ListParagraph"/>
        <w:numPr>
          <w:ilvl w:val="0"/>
          <w:numId w:val="13"/>
        </w:numPr>
      </w:pPr>
      <w:r w:rsidRPr="008D06B5">
        <w:t>Articles 16 and 19 TFEU</w:t>
      </w:r>
    </w:p>
    <w:p w14:paraId="5F23E1B8" w14:textId="77777777" w:rsidR="00000685" w:rsidRDefault="00000685">
      <w:pPr>
        <w:pStyle w:val="ListParagraph"/>
        <w:numPr>
          <w:ilvl w:val="0"/>
          <w:numId w:val="13"/>
        </w:numPr>
      </w:pPr>
      <w:r w:rsidRPr="00651CFF">
        <w:t xml:space="preserve">E. Muir, 'The Fundamental Rights Implications of EU Legislation: some constitutional challenges' (2014) 51 </w:t>
      </w:r>
      <w:r w:rsidRPr="006F5CAD">
        <w:rPr>
          <w:i/>
        </w:rPr>
        <w:t>Common Market Law Review</w:t>
      </w:r>
      <w:r w:rsidRPr="00651CFF">
        <w:t xml:space="preserve"> 219-246 [26p]</w:t>
      </w:r>
    </w:p>
    <w:p w14:paraId="428E8943" w14:textId="0C70FED9" w:rsidR="00922C34" w:rsidRDefault="00D37A04">
      <w:pPr>
        <w:pStyle w:val="ListParagraph"/>
        <w:numPr>
          <w:ilvl w:val="0"/>
          <w:numId w:val="13"/>
        </w:numPr>
      </w:pPr>
      <w:r>
        <w:t>E</w:t>
      </w:r>
      <w:r w:rsidR="00000685">
        <w:t>T</w:t>
      </w:r>
      <w:r>
        <w:t>UI, The Digital Services Act package: Reflections on the EU Commission’s policy option</w:t>
      </w:r>
      <w:r w:rsidR="007905B0">
        <w:t>s (</w:t>
      </w:r>
      <w:r w:rsidR="00922C34">
        <w:t>Policy brief</w:t>
      </w:r>
      <w:r w:rsidR="007905B0">
        <w:t>, 2020):</w:t>
      </w:r>
      <w:r w:rsidR="00922C34">
        <w:t xml:space="preserve"> </w:t>
      </w:r>
      <w:hyperlink r:id="rId34" w:history="1">
        <w:r w:rsidR="00F57219" w:rsidRPr="00AC1BB1">
          <w:rPr>
            <w:rStyle w:val="Hyperlink"/>
          </w:rPr>
          <w:t>https://www.etui.org/sites/default/files/2020-09/The%20digital%20services%20act%20package.%20Reflections%20on%20the%20EU%20Commission%27s%20policy%20options-2-2020.pdf</w:t>
        </w:r>
      </w:hyperlink>
      <w:r w:rsidR="00F57219">
        <w:t xml:space="preserve"> </w:t>
      </w:r>
      <w:r w:rsidR="00922C34" w:rsidRPr="00922C34">
        <w:t xml:space="preserve"> </w:t>
      </w:r>
      <w:r w:rsidR="00922C34">
        <w:t xml:space="preserve"> </w:t>
      </w:r>
    </w:p>
    <w:p w14:paraId="13DEA7F7" w14:textId="02CD62D1" w:rsidR="00FE3BB3" w:rsidRDefault="00FE3BB3">
      <w:pPr>
        <w:pStyle w:val="ListParagraph"/>
        <w:numPr>
          <w:ilvl w:val="0"/>
          <w:numId w:val="13"/>
        </w:numPr>
      </w:pPr>
      <w:r>
        <w:t xml:space="preserve">Tool #28 Better Regulation Toolbox, Fundamental Rights </w:t>
      </w:r>
      <w:r w:rsidR="006F5CAD">
        <w:t xml:space="preserve">and Human Rights. </w:t>
      </w:r>
      <w:hyperlink r:id="rId35" w:history="1">
        <w:r w:rsidR="006F5CAD" w:rsidRPr="006F262F">
          <w:rPr>
            <w:rStyle w:val="Hyperlink"/>
          </w:rPr>
          <w:t>https://ec.europa.eu/info/sites/default/files/file_import/better-regulation-toolbox-28_en_0.pdf</w:t>
        </w:r>
      </w:hyperlink>
      <w:r>
        <w:t xml:space="preserve"> </w:t>
      </w:r>
    </w:p>
    <w:p w14:paraId="1C54A446" w14:textId="4506FE7A" w:rsidR="00C305DC" w:rsidRPr="000909FA" w:rsidRDefault="00C305DC">
      <w:pPr>
        <w:pStyle w:val="ListParagraph"/>
        <w:numPr>
          <w:ilvl w:val="0"/>
          <w:numId w:val="13"/>
        </w:numPr>
        <w:rPr>
          <w:rFonts w:cstheme="minorHAnsi"/>
        </w:rPr>
      </w:pPr>
      <w:r w:rsidRPr="00C305DC">
        <w:rPr>
          <w:rFonts w:cstheme="minorHAnsi"/>
          <w:bCs/>
        </w:rPr>
        <w:t xml:space="preserve">Commission’s </w:t>
      </w:r>
      <w:hyperlink r:id="rId36" w:history="1">
        <w:r w:rsidRPr="00F27DB7">
          <w:rPr>
            <w:rStyle w:val="Hyperlink"/>
            <w:rFonts w:cstheme="minorHAnsi"/>
            <w:bCs/>
            <w:i/>
            <w:iCs/>
          </w:rPr>
          <w:t>Annual Report</w:t>
        </w:r>
      </w:hyperlink>
      <w:r w:rsidRPr="00F27DB7">
        <w:rPr>
          <w:rFonts w:cstheme="minorHAnsi"/>
          <w:bCs/>
          <w:i/>
          <w:iCs/>
        </w:rPr>
        <w:t xml:space="preserve"> (202</w:t>
      </w:r>
      <w:r w:rsidR="00CF0803">
        <w:rPr>
          <w:rFonts w:cstheme="minorHAnsi"/>
          <w:bCs/>
          <w:i/>
          <w:iCs/>
        </w:rPr>
        <w:t>2</w:t>
      </w:r>
      <w:r w:rsidRPr="00F27DB7">
        <w:rPr>
          <w:rFonts w:cstheme="minorHAnsi"/>
          <w:bCs/>
          <w:i/>
          <w:iCs/>
        </w:rPr>
        <w:t>) on the application of the EU Charter for the protection of fundamental rights</w:t>
      </w:r>
      <w:r w:rsidRPr="00C305DC">
        <w:rPr>
          <w:rFonts w:cstheme="minorHAnsi"/>
          <w:bCs/>
        </w:rPr>
        <w:t xml:space="preserve">, </w:t>
      </w:r>
      <w:hyperlink r:id="rId37" w:history="1">
        <w:r w:rsidR="00CF0803" w:rsidRPr="00AC1BB1">
          <w:rPr>
            <w:rStyle w:val="Hyperlink"/>
          </w:rPr>
          <w:t>https://commission.europa.eu/system/files/2022-12/1_1_201131_2022_charter_report_en.pdf</w:t>
        </w:r>
      </w:hyperlink>
      <w:r w:rsidR="00CF0803">
        <w:t xml:space="preserve"> </w:t>
      </w:r>
      <w:r w:rsidR="00CF0803" w:rsidRPr="00CF0803">
        <w:t xml:space="preserve"> </w:t>
      </w:r>
      <w:r w:rsidR="00CF0803">
        <w:t xml:space="preserve"> </w:t>
      </w:r>
      <w:r w:rsidR="003F28AF" w:rsidRPr="00080856">
        <w:rPr>
          <w:highlight w:val="yellow"/>
        </w:rPr>
        <w:t xml:space="preserve">Read </w:t>
      </w:r>
      <w:r w:rsidR="00080856" w:rsidRPr="00080856">
        <w:rPr>
          <w:highlight w:val="yellow"/>
        </w:rPr>
        <w:t>pp 10-12</w:t>
      </w:r>
      <w:r w:rsidR="00660BE9">
        <w:t xml:space="preserve"> </w:t>
      </w:r>
    </w:p>
    <w:p w14:paraId="7A365099" w14:textId="122A1981" w:rsidR="00B87D57" w:rsidRDefault="00B87D57" w:rsidP="00B87D57">
      <w:pPr>
        <w:pStyle w:val="Heading3"/>
      </w:pPr>
      <w:r>
        <w:t>Further reading</w:t>
      </w:r>
    </w:p>
    <w:p w14:paraId="69ABE979" w14:textId="77777777" w:rsidR="007905B0" w:rsidRDefault="007905B0">
      <w:pPr>
        <w:pStyle w:val="ListParagraph"/>
        <w:numPr>
          <w:ilvl w:val="0"/>
          <w:numId w:val="14"/>
        </w:numPr>
      </w:pPr>
      <w:r>
        <w:t xml:space="preserve">L.Waddington, M.Bell, 'Similar, yet different: The Work-life Balance Directive and the expanding frontiers of EU non-discrimination law', (2021), 585:5 </w:t>
      </w:r>
      <w:r w:rsidRPr="001E66CB">
        <w:rPr>
          <w:i/>
          <w:iCs/>
        </w:rPr>
        <w:t>Common Market Law Review,</w:t>
      </w:r>
      <w:r>
        <w:t xml:space="preserve"> pp. 1401-1432</w:t>
      </w:r>
    </w:p>
    <w:p w14:paraId="026B5BD9" w14:textId="2A68DDE3" w:rsidR="00662911" w:rsidRDefault="00B87D57">
      <w:pPr>
        <w:pStyle w:val="ListParagraph"/>
        <w:numPr>
          <w:ilvl w:val="0"/>
          <w:numId w:val="14"/>
        </w:numPr>
      </w:pPr>
      <w:r>
        <w:t xml:space="preserve">R. Xenidis, 'The Polysemy </w:t>
      </w:r>
      <w:r w:rsidR="00BE0B58">
        <w:t>o</w:t>
      </w:r>
      <w:r>
        <w:t xml:space="preserve">f Anti-Discrimination Law: The Interpretation Architecture Of The Framework Employment Directive </w:t>
      </w:r>
      <w:r w:rsidR="00DD0978">
        <w:t>a</w:t>
      </w:r>
      <w:r>
        <w:t xml:space="preserve">t The Court Of Justice', (2021) 58:6 </w:t>
      </w:r>
      <w:r w:rsidRPr="001E66CB">
        <w:rPr>
          <w:i/>
          <w:iCs/>
        </w:rPr>
        <w:t>Common Market Law Review,</w:t>
      </w:r>
      <w:r>
        <w:t xml:space="preserve"> pp. 1649-1696</w:t>
      </w:r>
    </w:p>
    <w:p w14:paraId="7E7B8602" w14:textId="4ECBFB0F" w:rsidR="00512F4E" w:rsidRPr="00651CFF" w:rsidRDefault="00512F4E" w:rsidP="00662911">
      <w:pPr>
        <w:pStyle w:val="Heading3"/>
      </w:pPr>
      <w:r w:rsidRPr="00651CFF">
        <w:t>Cases for presentation</w:t>
      </w:r>
    </w:p>
    <w:p w14:paraId="63D10258" w14:textId="7D643B39" w:rsidR="00512F4E" w:rsidRPr="00BC5981" w:rsidRDefault="00512F4E">
      <w:pPr>
        <w:pStyle w:val="ListParagraph"/>
        <w:numPr>
          <w:ilvl w:val="0"/>
          <w:numId w:val="15"/>
        </w:numPr>
        <w:rPr>
          <w:rStyle w:val="acopre"/>
          <w:rFonts w:cs="Calibri"/>
          <w:color w:val="000000" w:themeColor="text1"/>
          <w:lang w:val="fr-FR"/>
        </w:rPr>
      </w:pPr>
      <w:r w:rsidRPr="00BC5981">
        <w:rPr>
          <w:rStyle w:val="Emphasis"/>
          <w:rFonts w:cs="Calibri"/>
          <w:lang w:val="fr-FR"/>
        </w:rPr>
        <w:t>C</w:t>
      </w:r>
      <w:r w:rsidRPr="00BC5981">
        <w:rPr>
          <w:rStyle w:val="acopre"/>
          <w:rFonts w:cs="Calibri"/>
          <w:i/>
          <w:lang w:val="fr-FR"/>
        </w:rPr>
        <w:t>-</w:t>
      </w:r>
      <w:r w:rsidRPr="00BC5981">
        <w:rPr>
          <w:rStyle w:val="acopre"/>
          <w:rFonts w:cs="Calibri"/>
          <w:color w:val="000000" w:themeColor="text1"/>
          <w:lang w:val="fr-FR"/>
        </w:rPr>
        <w:t xml:space="preserve">236/09 </w:t>
      </w:r>
      <w:r w:rsidRPr="00BC5981">
        <w:rPr>
          <w:rStyle w:val="Emphasis"/>
          <w:rFonts w:cs="Calibri"/>
          <w:color w:val="000000" w:themeColor="text1"/>
          <w:lang w:val="fr-FR"/>
        </w:rPr>
        <w:t>Test</w:t>
      </w:r>
      <w:r w:rsidRPr="00BC5981">
        <w:rPr>
          <w:rStyle w:val="acopre"/>
          <w:rFonts w:cs="Calibri"/>
          <w:color w:val="000000" w:themeColor="text1"/>
          <w:lang w:val="fr-FR"/>
        </w:rPr>
        <w:t>-</w:t>
      </w:r>
      <w:r w:rsidRPr="00BC5981">
        <w:rPr>
          <w:rStyle w:val="Emphasis"/>
          <w:rFonts w:cs="Calibri"/>
          <w:color w:val="000000" w:themeColor="text1"/>
          <w:lang w:val="fr-FR"/>
        </w:rPr>
        <w:t>Achats</w:t>
      </w:r>
      <w:r w:rsidRPr="00BC5981">
        <w:rPr>
          <w:rStyle w:val="acopre"/>
          <w:rFonts w:cs="Calibri"/>
          <w:color w:val="000000" w:themeColor="text1"/>
          <w:lang w:val="fr-FR"/>
        </w:rPr>
        <w:t xml:space="preserve"> EU:</w:t>
      </w:r>
      <w:r w:rsidRPr="00BC5981">
        <w:rPr>
          <w:rStyle w:val="Emphasis"/>
          <w:rFonts w:cs="Calibri"/>
          <w:color w:val="000000" w:themeColor="text1"/>
          <w:lang w:val="fr-FR"/>
        </w:rPr>
        <w:t>C</w:t>
      </w:r>
      <w:r w:rsidRPr="00BC5981">
        <w:rPr>
          <w:rStyle w:val="acopre"/>
          <w:rFonts w:cs="Calibri"/>
          <w:color w:val="000000" w:themeColor="text1"/>
          <w:lang w:val="fr-FR"/>
        </w:rPr>
        <w:t>:2011:100</w:t>
      </w:r>
      <w:r w:rsidR="00B94AA8">
        <w:rPr>
          <w:rStyle w:val="acopre"/>
          <w:rFonts w:cs="Calibri"/>
          <w:color w:val="000000" w:themeColor="text1"/>
          <w:lang w:val="fr-FR"/>
        </w:rPr>
        <w:t xml:space="preserve"> </w:t>
      </w:r>
    </w:p>
    <w:p w14:paraId="6453E17A" w14:textId="35078ACA" w:rsidR="00512F4E" w:rsidRPr="00BC5981" w:rsidRDefault="00512F4E">
      <w:pPr>
        <w:pStyle w:val="ListParagraph"/>
        <w:numPr>
          <w:ilvl w:val="0"/>
          <w:numId w:val="15"/>
        </w:numPr>
        <w:rPr>
          <w:rFonts w:cs="Calibri"/>
          <w:color w:val="000000" w:themeColor="text1"/>
          <w:lang w:val="fr-FR"/>
        </w:rPr>
      </w:pPr>
      <w:r w:rsidRPr="00BC5981">
        <w:rPr>
          <w:rFonts w:cs="Calibri"/>
          <w:color w:val="000000" w:themeColor="text1"/>
          <w:lang w:val="fr-FR"/>
        </w:rPr>
        <w:t xml:space="preserve">C-623/17, </w:t>
      </w:r>
      <w:r w:rsidRPr="00BC5981">
        <w:rPr>
          <w:rStyle w:val="Emphasis"/>
          <w:rFonts w:cs="Calibri"/>
          <w:color w:val="000000" w:themeColor="text1"/>
          <w:lang w:val="fr-FR"/>
        </w:rPr>
        <w:t>Privacy International</w:t>
      </w:r>
      <w:r w:rsidRPr="00BC5981">
        <w:rPr>
          <w:rFonts w:cs="Calibri"/>
          <w:color w:val="000000" w:themeColor="text1"/>
          <w:lang w:val="fr-FR"/>
        </w:rPr>
        <w:t xml:space="preserve">, </w:t>
      </w:r>
      <w:r w:rsidRPr="00BC5981">
        <w:rPr>
          <w:rStyle w:val="outputecli"/>
          <w:rFonts w:cs="Calibri"/>
          <w:color w:val="000000" w:themeColor="text1"/>
          <w:lang w:val="fr-FR"/>
        </w:rPr>
        <w:t>EU:C:2020:790</w:t>
      </w:r>
      <w:r w:rsidR="00B94AA8">
        <w:rPr>
          <w:rStyle w:val="outputecli"/>
          <w:rFonts w:cs="Calibri"/>
          <w:color w:val="000000" w:themeColor="text1"/>
          <w:lang w:val="fr-FR"/>
        </w:rPr>
        <w:t xml:space="preserve"> </w:t>
      </w:r>
    </w:p>
    <w:p w14:paraId="02DFE62D" w14:textId="113B5964" w:rsidR="00512F4E" w:rsidRPr="00BC5981" w:rsidRDefault="00512F4E">
      <w:pPr>
        <w:pStyle w:val="ListParagraph"/>
        <w:numPr>
          <w:ilvl w:val="0"/>
          <w:numId w:val="15"/>
        </w:numPr>
        <w:rPr>
          <w:rStyle w:val="outputecli"/>
          <w:rFonts w:cs="Calibri"/>
          <w:lang w:val="fr-FR"/>
        </w:rPr>
      </w:pPr>
      <w:r w:rsidRPr="00BC5981">
        <w:rPr>
          <w:rFonts w:cs="Calibri"/>
          <w:color w:val="000000" w:themeColor="text1"/>
          <w:lang w:val="fr-FR"/>
        </w:rPr>
        <w:t xml:space="preserve">Joined Cases C-511/18, </w:t>
      </w:r>
      <w:r w:rsidRPr="00BC5981">
        <w:rPr>
          <w:rStyle w:val="Emphasis"/>
          <w:rFonts w:cs="Calibri"/>
          <w:color w:val="000000" w:themeColor="text1"/>
          <w:lang w:val="fr-FR"/>
        </w:rPr>
        <w:t>La Quadrature du Net and Others</w:t>
      </w:r>
      <w:r w:rsidRPr="00BC5981">
        <w:rPr>
          <w:rFonts w:cs="Calibri"/>
          <w:color w:val="000000" w:themeColor="text1"/>
          <w:lang w:val="fr-FR"/>
        </w:rPr>
        <w:t xml:space="preserve">, C-512/18, </w:t>
      </w:r>
      <w:r w:rsidRPr="00BC5981">
        <w:rPr>
          <w:rStyle w:val="Emphasis"/>
          <w:rFonts w:cs="Calibri"/>
          <w:color w:val="000000" w:themeColor="text1"/>
          <w:lang w:val="fr-FR"/>
        </w:rPr>
        <w:t>French Data Network and Others</w:t>
      </w:r>
      <w:r w:rsidRPr="00BC5981">
        <w:rPr>
          <w:rFonts w:cs="Calibri"/>
          <w:color w:val="000000" w:themeColor="text1"/>
          <w:lang w:val="fr-FR"/>
        </w:rPr>
        <w:t xml:space="preserve">, and C-520/18, </w:t>
      </w:r>
      <w:r w:rsidRPr="00BC5981">
        <w:rPr>
          <w:rStyle w:val="Emphasis"/>
          <w:rFonts w:cs="Calibri"/>
          <w:color w:val="000000" w:themeColor="text1"/>
          <w:lang w:val="fr-FR"/>
        </w:rPr>
        <w:t xml:space="preserve">Ordre </w:t>
      </w:r>
      <w:r w:rsidRPr="00BC5981">
        <w:rPr>
          <w:rStyle w:val="Emphasis"/>
          <w:rFonts w:cs="Calibri"/>
          <w:lang w:val="fr-FR"/>
        </w:rPr>
        <w:t xml:space="preserve">des barreaux francophones et germanophone and Others  </w:t>
      </w:r>
      <w:r w:rsidRPr="00BC5981">
        <w:rPr>
          <w:rStyle w:val="outputecli"/>
          <w:rFonts w:cs="Calibri"/>
          <w:lang w:val="fr-FR"/>
        </w:rPr>
        <w:t>EU:C:2020:791</w:t>
      </w:r>
    </w:p>
    <w:p w14:paraId="43AD9C96" w14:textId="33EED0C7" w:rsidR="007071AC" w:rsidRPr="00BC5981" w:rsidRDefault="007071AC">
      <w:pPr>
        <w:pStyle w:val="ListParagraph"/>
        <w:numPr>
          <w:ilvl w:val="0"/>
          <w:numId w:val="15"/>
        </w:numPr>
        <w:rPr>
          <w:rStyle w:val="outputecli"/>
          <w:rFonts w:cs="Calibri"/>
          <w:lang w:val="fr-FR"/>
        </w:rPr>
      </w:pPr>
      <w:r w:rsidRPr="00BC5981">
        <w:rPr>
          <w:rStyle w:val="outputecli"/>
          <w:rFonts w:cs="Calibri"/>
          <w:lang w:val="fr-FR"/>
        </w:rPr>
        <w:t xml:space="preserve">C-389/20 </w:t>
      </w:r>
      <w:r w:rsidRPr="00D47314">
        <w:rPr>
          <w:i/>
          <w:iCs/>
          <w:lang w:val="fr-FR"/>
        </w:rPr>
        <w:t>CJ v Tesorería General de la Seguridad Social (TGSS)</w:t>
      </w:r>
      <w:r w:rsidRPr="00D47314">
        <w:rPr>
          <w:lang w:val="fr-FR"/>
        </w:rPr>
        <w:t xml:space="preserve"> </w:t>
      </w:r>
      <w:r w:rsidR="00870793" w:rsidRPr="00D47314">
        <w:rPr>
          <w:rStyle w:val="outputecliaff"/>
          <w:lang w:val="fr-FR"/>
        </w:rPr>
        <w:t>EU:C:2022:120</w:t>
      </w:r>
    </w:p>
    <w:p w14:paraId="758F6447" w14:textId="09EA7E08" w:rsidR="00BF0D57" w:rsidRPr="00D47314" w:rsidRDefault="0052702A">
      <w:pPr>
        <w:pStyle w:val="ListParagraph"/>
        <w:numPr>
          <w:ilvl w:val="0"/>
          <w:numId w:val="15"/>
        </w:numPr>
        <w:rPr>
          <w:rFonts w:cs="Calibri"/>
          <w:lang w:val="de-AT"/>
        </w:rPr>
      </w:pPr>
      <w:r w:rsidRPr="00D47314">
        <w:rPr>
          <w:lang w:val="de-AT"/>
        </w:rPr>
        <w:t>C</w:t>
      </w:r>
      <w:r w:rsidRPr="00D47314">
        <w:rPr>
          <w:lang w:val="de-AT"/>
        </w:rPr>
        <w:noBreakHyphen/>
        <w:t>804/18 and C</w:t>
      </w:r>
      <w:r w:rsidRPr="00D47314">
        <w:rPr>
          <w:lang w:val="de-AT"/>
        </w:rPr>
        <w:noBreakHyphen/>
        <w:t xml:space="preserve">341/19 </w:t>
      </w:r>
      <w:r w:rsidRPr="00D47314">
        <w:rPr>
          <w:i/>
          <w:iCs/>
          <w:lang w:val="de-AT"/>
        </w:rPr>
        <w:t>IX v WABE eV and MH Müller Handels GmbH v MJ</w:t>
      </w:r>
      <w:r w:rsidR="004773D7" w:rsidRPr="00D47314">
        <w:rPr>
          <w:lang w:val="de-AT"/>
        </w:rPr>
        <w:t xml:space="preserve"> </w:t>
      </w:r>
      <w:r w:rsidR="004773D7" w:rsidRPr="00D47314">
        <w:rPr>
          <w:rStyle w:val="outputecliaff"/>
          <w:lang w:val="de-AT"/>
        </w:rPr>
        <w:t>U:C:2021:594</w:t>
      </w:r>
      <w:r w:rsidR="00B94AA8">
        <w:rPr>
          <w:rStyle w:val="outputecliaff"/>
          <w:lang w:val="de-AT"/>
        </w:rPr>
        <w:t xml:space="preserve"> </w:t>
      </w:r>
      <w:r w:rsidR="00B94AA8">
        <w:rPr>
          <w:rStyle w:val="acopre"/>
          <w:rFonts w:cs="Calibri"/>
          <w:color w:val="000000" w:themeColor="text1"/>
          <w:lang w:val="fr-FR"/>
        </w:rPr>
        <w:t>[non-discrimination]</w:t>
      </w:r>
    </w:p>
    <w:p w14:paraId="4FBF24FE" w14:textId="155303B7" w:rsidR="00055C99" w:rsidRPr="00D47314" w:rsidRDefault="004773D7">
      <w:pPr>
        <w:pStyle w:val="ListParagraph"/>
        <w:numPr>
          <w:ilvl w:val="0"/>
          <w:numId w:val="15"/>
        </w:numPr>
        <w:rPr>
          <w:rStyle w:val="outputecliaff"/>
          <w:lang w:val="fr-FR"/>
        </w:rPr>
      </w:pPr>
      <w:r w:rsidRPr="00D47314">
        <w:rPr>
          <w:lang w:val="fr-FR"/>
        </w:rPr>
        <w:t xml:space="preserve">C-485/20 </w:t>
      </w:r>
      <w:r w:rsidR="00055C99" w:rsidRPr="00D47314">
        <w:rPr>
          <w:i/>
          <w:iCs/>
          <w:lang w:val="fr-FR"/>
        </w:rPr>
        <w:t xml:space="preserve">HR Rail </w:t>
      </w:r>
      <w:r w:rsidR="00715A86" w:rsidRPr="00D47314">
        <w:rPr>
          <w:rStyle w:val="outputecliaff"/>
          <w:lang w:val="fr-FR"/>
        </w:rPr>
        <w:t>EU:C:2022:85</w:t>
      </w:r>
    </w:p>
    <w:p w14:paraId="47454D8E" w14:textId="672497A7" w:rsidR="00633693" w:rsidRPr="0009167E" w:rsidRDefault="00036236">
      <w:pPr>
        <w:pStyle w:val="ListParagraph"/>
        <w:numPr>
          <w:ilvl w:val="0"/>
          <w:numId w:val="15"/>
        </w:numPr>
        <w:rPr>
          <w:rStyle w:val="outputecliaff"/>
          <w:rFonts w:cs="Calibri"/>
        </w:rPr>
      </w:pPr>
      <w:r>
        <w:rPr>
          <w:rStyle w:val="outputecliaff"/>
        </w:rPr>
        <w:t>C-824/</w:t>
      </w:r>
      <w:r w:rsidRPr="0009167E">
        <w:rPr>
          <w:rStyle w:val="outputecliaff"/>
        </w:rPr>
        <w:t xml:space="preserve">19 </w:t>
      </w:r>
      <w:r w:rsidRPr="0009167E">
        <w:rPr>
          <w:i/>
          <w:iCs/>
        </w:rPr>
        <w:t>TC and UB v Komisia za zashtita ot diskriminatsia and VA</w:t>
      </w:r>
      <w:r w:rsidR="000656E0" w:rsidRPr="0009167E">
        <w:t xml:space="preserve"> </w:t>
      </w:r>
      <w:r w:rsidR="000656E0" w:rsidRPr="0009167E">
        <w:rPr>
          <w:rStyle w:val="outputecliaff"/>
        </w:rPr>
        <w:t>EU:C:2021:862</w:t>
      </w:r>
      <w:r w:rsidR="00B94AA8">
        <w:rPr>
          <w:rStyle w:val="outputecliaff"/>
        </w:rPr>
        <w:t xml:space="preserve"> </w:t>
      </w:r>
      <w:r w:rsidR="00B94AA8">
        <w:rPr>
          <w:rStyle w:val="acopre"/>
          <w:rFonts w:cs="Calibri"/>
          <w:color w:val="000000" w:themeColor="text1"/>
          <w:lang w:val="fr-FR"/>
        </w:rPr>
        <w:t>[non-discrimination]</w:t>
      </w:r>
    </w:p>
    <w:p w14:paraId="53412288" w14:textId="023EB93D" w:rsidR="00076E6E" w:rsidRPr="0009167E" w:rsidRDefault="00076E6E">
      <w:pPr>
        <w:pStyle w:val="ListParagraph"/>
        <w:numPr>
          <w:ilvl w:val="0"/>
          <w:numId w:val="15"/>
        </w:numPr>
        <w:rPr>
          <w:rStyle w:val="outputecli"/>
          <w:rFonts w:cs="Calibri"/>
          <w:lang w:val="fr-FR"/>
        </w:rPr>
      </w:pPr>
      <w:r w:rsidRPr="0009167E">
        <w:rPr>
          <w:rStyle w:val="outputecli"/>
          <w:lang w:val="fr-FR"/>
        </w:rPr>
        <w:lastRenderedPageBreak/>
        <w:t>C-</w:t>
      </w:r>
      <w:r w:rsidR="00B94B74" w:rsidRPr="0009167E">
        <w:rPr>
          <w:rStyle w:val="outputecli"/>
          <w:lang w:val="fr-FR"/>
        </w:rPr>
        <w:t>61/21</w:t>
      </w:r>
      <w:r w:rsidRPr="0009167E">
        <w:rPr>
          <w:rStyle w:val="outputecli"/>
          <w:lang w:val="fr-FR"/>
        </w:rPr>
        <w:t xml:space="preserve"> </w:t>
      </w:r>
      <w:r w:rsidRPr="0009167E">
        <w:rPr>
          <w:rStyle w:val="outputecli"/>
          <w:i/>
          <w:iCs/>
          <w:lang w:val="fr-FR"/>
        </w:rPr>
        <w:t xml:space="preserve">JP v </w:t>
      </w:r>
      <w:r w:rsidR="00B94B74" w:rsidRPr="0009167E">
        <w:rPr>
          <w:rStyle w:val="outputecli"/>
          <w:i/>
          <w:iCs/>
          <w:lang w:val="fr-FR"/>
        </w:rPr>
        <w:t>Ministre de la transition ecologique</w:t>
      </w:r>
      <w:r w:rsidR="00B94B74" w:rsidRPr="0009167E">
        <w:rPr>
          <w:rStyle w:val="outputecli"/>
          <w:lang w:val="fr-FR"/>
        </w:rPr>
        <w:t xml:space="preserve"> </w:t>
      </w:r>
      <w:r w:rsidRPr="0009167E">
        <w:rPr>
          <w:rStyle w:val="outputecli"/>
          <w:lang w:val="fr-FR"/>
        </w:rPr>
        <w:t>EU:C:2022:1015</w:t>
      </w:r>
    </w:p>
    <w:p w14:paraId="57F58C76" w14:textId="1E38C087" w:rsidR="00CA4325" w:rsidRPr="0009167E" w:rsidRDefault="00CA4325">
      <w:pPr>
        <w:pStyle w:val="ListParagraph"/>
        <w:numPr>
          <w:ilvl w:val="0"/>
          <w:numId w:val="15"/>
        </w:numPr>
        <w:rPr>
          <w:rStyle w:val="outputecli"/>
          <w:rFonts w:cs="Calibri"/>
          <w:lang w:val="fr-FR"/>
        </w:rPr>
      </w:pPr>
      <w:r w:rsidRPr="00B94AA8">
        <w:rPr>
          <w:lang w:val="fr-FR"/>
        </w:rPr>
        <w:t xml:space="preserve">C-344/20 </w:t>
      </w:r>
      <w:r w:rsidRPr="00B94AA8">
        <w:rPr>
          <w:i/>
          <w:iCs/>
          <w:lang w:val="fr-FR"/>
        </w:rPr>
        <w:t>LF v SCRL</w:t>
      </w:r>
      <w:r w:rsidR="00E771ED">
        <w:rPr>
          <w:lang w:val="fr-FR"/>
        </w:rPr>
        <w:t xml:space="preserve"> </w:t>
      </w:r>
      <w:r w:rsidR="00D229E9" w:rsidRPr="00B94AA8">
        <w:rPr>
          <w:lang w:val="fr-FR"/>
        </w:rPr>
        <w:t>:EU:C:2022:774</w:t>
      </w:r>
    </w:p>
    <w:p w14:paraId="06E02999" w14:textId="01DADE21" w:rsidR="00CD2FD5" w:rsidRPr="0009167E" w:rsidRDefault="008A6AE1">
      <w:pPr>
        <w:pStyle w:val="ListParagraph"/>
        <w:numPr>
          <w:ilvl w:val="0"/>
          <w:numId w:val="15"/>
        </w:numPr>
        <w:rPr>
          <w:rFonts w:cs="Calibri"/>
          <w:lang w:val="fr-FR"/>
        </w:rPr>
      </w:pPr>
      <w:r w:rsidRPr="0009167E">
        <w:rPr>
          <w:rFonts w:cs="Calibri"/>
          <w:lang w:val="fr-FR"/>
        </w:rPr>
        <w:t xml:space="preserve">T-158/21 </w:t>
      </w:r>
      <w:r w:rsidRPr="0009167E">
        <w:rPr>
          <w:rFonts w:cs="Calibri"/>
          <w:i/>
          <w:iCs/>
          <w:lang w:val="fr-FR"/>
        </w:rPr>
        <w:t>Minority Safe Pack</w:t>
      </w:r>
      <w:r w:rsidR="00A600C0" w:rsidRPr="0009167E">
        <w:rPr>
          <w:rFonts w:cs="Calibri"/>
          <w:i/>
          <w:iCs/>
          <w:lang w:val="fr-FR"/>
        </w:rPr>
        <w:t xml:space="preserve"> Init</w:t>
      </w:r>
      <w:r w:rsidR="00AB42AD" w:rsidRPr="0009167E">
        <w:rPr>
          <w:rFonts w:cs="Calibri"/>
          <w:i/>
          <w:iCs/>
          <w:lang w:val="fr-FR"/>
        </w:rPr>
        <w:t>i</w:t>
      </w:r>
      <w:r w:rsidR="00A600C0" w:rsidRPr="0009167E">
        <w:rPr>
          <w:rFonts w:cs="Calibri"/>
          <w:i/>
          <w:iCs/>
          <w:lang w:val="fr-FR"/>
        </w:rPr>
        <w:t>ative</w:t>
      </w:r>
      <w:r w:rsidRPr="0009167E">
        <w:rPr>
          <w:rFonts w:cs="Calibri"/>
          <w:lang w:val="fr-FR"/>
        </w:rPr>
        <w:t xml:space="preserve"> </w:t>
      </w:r>
      <w:r w:rsidR="00A600C0" w:rsidRPr="00B94AA8">
        <w:rPr>
          <w:lang w:val="fr-FR"/>
        </w:rPr>
        <w:t>EU:T:2022:696</w:t>
      </w:r>
      <w:r w:rsidRPr="0009167E">
        <w:rPr>
          <w:rFonts w:cs="Calibri"/>
          <w:lang w:val="fr-FR"/>
        </w:rPr>
        <w:t xml:space="preserve"> </w:t>
      </w:r>
      <w:r w:rsidR="00B94AA8">
        <w:rPr>
          <w:rStyle w:val="acopre"/>
          <w:rFonts w:cs="Calibri"/>
          <w:color w:val="000000" w:themeColor="text1"/>
          <w:lang w:val="fr-FR"/>
        </w:rPr>
        <w:t>[non-discrimination]</w:t>
      </w:r>
    </w:p>
    <w:p w14:paraId="04F22068" w14:textId="44FE7032" w:rsidR="00D13ED9" w:rsidRPr="0009167E" w:rsidRDefault="00D13ED9">
      <w:pPr>
        <w:pStyle w:val="ListParagraph"/>
        <w:numPr>
          <w:ilvl w:val="0"/>
          <w:numId w:val="15"/>
        </w:numPr>
        <w:rPr>
          <w:rStyle w:val="outputecliaff"/>
          <w:rFonts w:cs="Calibri"/>
        </w:rPr>
      </w:pPr>
      <w:r w:rsidRPr="0009167E">
        <w:rPr>
          <w:rStyle w:val="outputecliaff"/>
        </w:rPr>
        <w:t xml:space="preserve">Joined cases C-37/20 and 601/20 </w:t>
      </w:r>
      <w:r w:rsidR="002D479F" w:rsidRPr="00E771ED">
        <w:rPr>
          <w:i/>
          <w:iCs/>
        </w:rPr>
        <w:t>Luxembourg Business Registers</w:t>
      </w:r>
      <w:r w:rsidR="002D479F" w:rsidRPr="0009167E">
        <w:t xml:space="preserve"> </w:t>
      </w:r>
      <w:r w:rsidR="00E771ED">
        <w:rPr>
          <w:rStyle w:val="outputecliaff"/>
        </w:rPr>
        <w:t>EU</w:t>
      </w:r>
      <w:r w:rsidRPr="0009167E">
        <w:rPr>
          <w:rStyle w:val="outputecliaff"/>
        </w:rPr>
        <w:t>:C:2022:912</w:t>
      </w:r>
    </w:p>
    <w:p w14:paraId="25F45285" w14:textId="70231257" w:rsidR="008E08C2" w:rsidRPr="0009167E" w:rsidRDefault="00BA6E3C">
      <w:pPr>
        <w:pStyle w:val="ListParagraph"/>
        <w:numPr>
          <w:ilvl w:val="0"/>
          <w:numId w:val="15"/>
        </w:numPr>
        <w:rPr>
          <w:rFonts w:cs="Calibri"/>
        </w:rPr>
      </w:pPr>
      <w:r w:rsidRPr="0009167E">
        <w:rPr>
          <w:i/>
          <w:iCs/>
        </w:rPr>
        <w:t xml:space="preserve">C-349/21 </w:t>
      </w:r>
      <w:r w:rsidR="008E08C2" w:rsidRPr="0009167E">
        <w:rPr>
          <w:i/>
          <w:iCs/>
        </w:rPr>
        <w:t>HYA and Others (Grounds for authorising telephone tapping)</w:t>
      </w:r>
      <w:r w:rsidR="008E08C2" w:rsidRPr="0009167E">
        <w:t xml:space="preserve"> </w:t>
      </w:r>
      <w:r w:rsidR="0009167E" w:rsidRPr="0009167E">
        <w:t xml:space="preserve"> </w:t>
      </w:r>
      <w:r w:rsidR="0009167E" w:rsidRPr="0009167E">
        <w:rPr>
          <w:rStyle w:val="markedcontent"/>
          <w:rFonts w:cstheme="minorHAnsi"/>
        </w:rPr>
        <w:t>EU:C:2023:102</w:t>
      </w:r>
    </w:p>
    <w:p w14:paraId="4B1EF6C0" w14:textId="0F850516" w:rsidR="00D333B0" w:rsidRPr="00E771ED" w:rsidRDefault="009D2483">
      <w:pPr>
        <w:pStyle w:val="ListParagraph"/>
        <w:numPr>
          <w:ilvl w:val="0"/>
          <w:numId w:val="15"/>
        </w:numPr>
        <w:rPr>
          <w:rFonts w:cs="Calibri"/>
          <w:color w:val="AEAAAA" w:themeColor="background2" w:themeShade="BF"/>
        </w:rPr>
      </w:pPr>
      <w:r w:rsidRPr="00E771ED">
        <w:rPr>
          <w:color w:val="AEAAAA" w:themeColor="background2" w:themeShade="BF"/>
        </w:rPr>
        <w:t>C-660</w:t>
      </w:r>
      <w:r w:rsidR="00BA6E3C" w:rsidRPr="00E771ED">
        <w:rPr>
          <w:color w:val="AEAAAA" w:themeColor="background2" w:themeShade="BF"/>
        </w:rPr>
        <w:t>/21</w:t>
      </w:r>
      <w:r w:rsidR="00BA6E3C" w:rsidRPr="00E771ED">
        <w:rPr>
          <w:i/>
          <w:iCs/>
          <w:color w:val="AEAAAA" w:themeColor="background2" w:themeShade="BF"/>
        </w:rPr>
        <w:t xml:space="preserve"> </w:t>
      </w:r>
      <w:r w:rsidR="00D333B0" w:rsidRPr="00E771ED">
        <w:rPr>
          <w:i/>
          <w:iCs/>
          <w:color w:val="AEAAAA" w:themeColor="background2" w:themeShade="BF"/>
        </w:rPr>
        <w:t>K.B. and F.S</w:t>
      </w:r>
      <w:r w:rsidR="00D333B0" w:rsidRPr="00E771ED">
        <w:rPr>
          <w:color w:val="AEAAAA" w:themeColor="background2" w:themeShade="BF"/>
        </w:rPr>
        <w:t>. [only opinion of AG so far]</w:t>
      </w:r>
    </w:p>
    <w:p w14:paraId="6480768F" w14:textId="77777777" w:rsidR="00337792" w:rsidRDefault="00337792" w:rsidP="00337792"/>
    <w:p w14:paraId="0C5EFAD1" w14:textId="5EEDD13A" w:rsidR="00337792" w:rsidRDefault="00337792" w:rsidP="00337792">
      <w:r>
        <w:t>Practical case:</w:t>
      </w:r>
    </w:p>
    <w:p w14:paraId="32C8DDB2" w14:textId="06BC83F5" w:rsidR="00337792" w:rsidRPr="0009167E" w:rsidRDefault="00337792">
      <w:pPr>
        <w:pStyle w:val="ListParagraph"/>
        <w:numPr>
          <w:ilvl w:val="0"/>
          <w:numId w:val="15"/>
        </w:numPr>
        <w:rPr>
          <w:rFonts w:cs="Calibri"/>
        </w:rPr>
      </w:pPr>
      <w:r w:rsidRPr="00633EF8">
        <w:t>C-148/22</w:t>
      </w:r>
      <w:r>
        <w:t xml:space="preserve"> </w:t>
      </w:r>
      <w:r w:rsidRPr="0009167E">
        <w:rPr>
          <w:i/>
          <w:iCs/>
        </w:rPr>
        <w:t xml:space="preserve">OP v Commune d’Ans </w:t>
      </w:r>
      <w:r w:rsidRPr="0009167E">
        <w:t xml:space="preserve"> [pending case – </w:t>
      </w:r>
      <w:r w:rsidR="00633EF8">
        <w:t>used as a practice case for</w:t>
      </w:r>
      <w:r w:rsidRPr="0009167E">
        <w:t xml:space="preserve"> simulation]</w:t>
      </w:r>
    </w:p>
    <w:p w14:paraId="18E64555" w14:textId="77777777" w:rsidR="000656E0" w:rsidRPr="00995E5C" w:rsidRDefault="000656E0" w:rsidP="000656E0">
      <w:pPr>
        <w:rPr>
          <w:rFonts w:cs="Calibri"/>
        </w:rPr>
      </w:pPr>
    </w:p>
    <w:p w14:paraId="04C23FB9" w14:textId="1E5F1F64" w:rsidR="00E42D27" w:rsidRDefault="006A3276" w:rsidP="00350A80">
      <w:pPr>
        <w:pStyle w:val="Heading2"/>
      </w:pPr>
      <w:r>
        <w:t>11-12</w:t>
      </w:r>
      <w:r w:rsidR="00E42D27" w:rsidRPr="00651CFF">
        <w:t>. EU human rights ‘policies’ [external relations]</w:t>
      </w:r>
      <w:r w:rsidR="00C2592B">
        <w:t xml:space="preserve"> </w:t>
      </w:r>
    </w:p>
    <w:p w14:paraId="4BD43A1A" w14:textId="54F6E56B" w:rsidR="00B54250" w:rsidRDefault="00B54250" w:rsidP="00B54250">
      <w:pPr>
        <w:rPr>
          <w:iCs/>
        </w:rPr>
      </w:pPr>
      <w:r>
        <w:t>Beyond legal instruments</w:t>
      </w:r>
      <w:r w:rsidR="008A2BDA">
        <w:t xml:space="preserve"> such as Treaty provisions, legislation or </w:t>
      </w:r>
      <w:r w:rsidR="00DC7C45">
        <w:t>case law,</w:t>
      </w:r>
      <w:r>
        <w:t xml:space="preserve"> EU </w:t>
      </w:r>
      <w:r w:rsidR="008A2BDA">
        <w:t>institution</w:t>
      </w:r>
      <w:r w:rsidR="006E492C">
        <w:t>s</w:t>
      </w:r>
      <w:r w:rsidR="00A96115">
        <w:t xml:space="preserve"> and bodies use</w:t>
      </w:r>
      <w:r w:rsidR="006E492C">
        <w:t xml:space="preserve"> </w:t>
      </w:r>
      <w:r w:rsidR="00A96115">
        <w:t>a</w:t>
      </w:r>
      <w:r>
        <w:t xml:space="preserve"> wide range of </w:t>
      </w:r>
      <w:r w:rsidR="00C36AE6" w:rsidRPr="001C12CD">
        <w:rPr>
          <w:i/>
          <w:iCs/>
        </w:rPr>
        <w:t xml:space="preserve">policy </w:t>
      </w:r>
      <w:r w:rsidR="006E492C" w:rsidRPr="001C12CD">
        <w:rPr>
          <w:i/>
          <w:iCs/>
        </w:rPr>
        <w:t>tools</w:t>
      </w:r>
      <w:r w:rsidR="00C36AE6" w:rsidRPr="001C12CD">
        <w:rPr>
          <w:i/>
          <w:iCs/>
        </w:rPr>
        <w:t xml:space="preserve"> to protect and promote human rights</w:t>
      </w:r>
      <w:r w:rsidR="00C36AE6">
        <w:t xml:space="preserve">, in both internal and external matters. </w:t>
      </w:r>
      <w:r w:rsidR="007D457B">
        <w:t>Regarding external matters, t</w:t>
      </w:r>
      <w:r w:rsidR="00644290">
        <w:t xml:space="preserve">here is a growing body of </w:t>
      </w:r>
      <w:r w:rsidR="00644290" w:rsidRPr="001C12CD">
        <w:rPr>
          <w:i/>
          <w:iCs/>
        </w:rPr>
        <w:t>scholarship</w:t>
      </w:r>
      <w:r w:rsidR="00C420EE" w:rsidRPr="001C12CD">
        <w:rPr>
          <w:i/>
          <w:iCs/>
        </w:rPr>
        <w:t>,</w:t>
      </w:r>
      <w:r w:rsidR="00C420EE">
        <w:t xml:space="preserve"> coming pri</w:t>
      </w:r>
      <w:r w:rsidR="008A7633">
        <w:t>marily from outside the legal studies field</w:t>
      </w:r>
      <w:r w:rsidR="00B1584A">
        <w:t xml:space="preserve"> (eg IR, </w:t>
      </w:r>
      <w:r w:rsidR="00293046">
        <w:t xml:space="preserve">security studies, migration studies, </w:t>
      </w:r>
      <w:r w:rsidR="00B1584A">
        <w:t>sociology, etc)</w:t>
      </w:r>
      <w:r w:rsidR="008A7633">
        <w:t>,</w:t>
      </w:r>
      <w:r w:rsidR="00644290">
        <w:t xml:space="preserve"> that assess</w:t>
      </w:r>
      <w:r w:rsidR="00563A0C">
        <w:t>es</w:t>
      </w:r>
      <w:r w:rsidR="00644290">
        <w:t xml:space="preserve"> </w:t>
      </w:r>
      <w:r w:rsidR="00C420EE">
        <w:t xml:space="preserve">policy interventions </w:t>
      </w:r>
      <w:r w:rsidR="00B1584A">
        <w:t xml:space="preserve">in the field of external relations, </w:t>
      </w:r>
      <w:r w:rsidR="00C420EE">
        <w:t xml:space="preserve">or seek to explain their </w:t>
      </w:r>
      <w:r w:rsidR="00A506FF">
        <w:t>operations</w:t>
      </w:r>
      <w:r w:rsidR="00293046">
        <w:t xml:space="preserve">. </w:t>
      </w:r>
      <w:r w:rsidR="007D457B">
        <w:t xml:space="preserve">Through the </w:t>
      </w:r>
      <w:r w:rsidR="00A801BF">
        <w:t>‘</w:t>
      </w:r>
      <w:r w:rsidR="00C72456">
        <w:t xml:space="preserve">short </w:t>
      </w:r>
      <w:r w:rsidR="007D457B">
        <w:t xml:space="preserve">conference </w:t>
      </w:r>
      <w:r w:rsidR="006379A3">
        <w:t xml:space="preserve">panel </w:t>
      </w:r>
      <w:r w:rsidR="00C72456">
        <w:t xml:space="preserve">presentation’ </w:t>
      </w:r>
      <w:r w:rsidR="007D457B">
        <w:t>simulation, we will</w:t>
      </w:r>
      <w:r w:rsidR="007D457B" w:rsidRPr="0008787B">
        <w:rPr>
          <w:i/>
          <w:iCs/>
        </w:rPr>
        <w:t xml:space="preserve"> </w:t>
      </w:r>
      <w:r w:rsidR="00A17411" w:rsidRPr="0008787B">
        <w:rPr>
          <w:i/>
          <w:iCs/>
        </w:rPr>
        <w:t xml:space="preserve">familiarize </w:t>
      </w:r>
      <w:r w:rsidR="00A17411">
        <w:t>ourselves</w:t>
      </w:r>
      <w:r w:rsidR="007D457B">
        <w:t xml:space="preserve"> with the</w:t>
      </w:r>
      <w:r w:rsidR="00A17411">
        <w:t>ir work,</w:t>
      </w:r>
      <w:r w:rsidR="007D457B">
        <w:t xml:space="preserve"> and </w:t>
      </w:r>
      <w:r w:rsidR="00BC5BB8">
        <w:t xml:space="preserve">by the same token, also </w:t>
      </w:r>
      <w:r w:rsidR="00A801BF">
        <w:t>get</w:t>
      </w:r>
      <w:r w:rsidR="007D457B">
        <w:t xml:space="preserve"> a</w:t>
      </w:r>
      <w:r w:rsidR="00A801BF">
        <w:t>n</w:t>
      </w:r>
      <w:r w:rsidR="007D457B">
        <w:t xml:space="preserve"> </w:t>
      </w:r>
      <w:r w:rsidR="00B1584A">
        <w:rPr>
          <w:iCs/>
        </w:rPr>
        <w:t xml:space="preserve">overview </w:t>
      </w:r>
      <w:r w:rsidR="00A17411">
        <w:rPr>
          <w:iCs/>
        </w:rPr>
        <w:t xml:space="preserve">and critical assessment </w:t>
      </w:r>
      <w:r w:rsidR="00B1584A">
        <w:rPr>
          <w:iCs/>
        </w:rPr>
        <w:t xml:space="preserve">of the different </w:t>
      </w:r>
      <w:r w:rsidR="00B1584A" w:rsidRPr="001C12CD">
        <w:rPr>
          <w:i/>
        </w:rPr>
        <w:t xml:space="preserve">policy tools </w:t>
      </w:r>
      <w:r w:rsidR="00A801BF" w:rsidRPr="001C12CD">
        <w:rPr>
          <w:i/>
        </w:rPr>
        <w:t xml:space="preserve">that </w:t>
      </w:r>
      <w:r w:rsidR="00B1584A" w:rsidRPr="001C12CD">
        <w:rPr>
          <w:i/>
        </w:rPr>
        <w:t>the EU use</w:t>
      </w:r>
      <w:r w:rsidR="007D457B" w:rsidRPr="001C12CD">
        <w:rPr>
          <w:i/>
        </w:rPr>
        <w:t>s</w:t>
      </w:r>
      <w:r w:rsidR="00B1584A" w:rsidRPr="001C12CD">
        <w:rPr>
          <w:i/>
        </w:rPr>
        <w:t xml:space="preserve"> to promote and protect human rights in external relations</w:t>
      </w:r>
      <w:r w:rsidR="00B1584A">
        <w:rPr>
          <w:iCs/>
        </w:rPr>
        <w:t xml:space="preserve">, </w:t>
      </w:r>
      <w:r w:rsidR="005A7256" w:rsidRPr="001C12CD">
        <w:rPr>
          <w:i/>
        </w:rPr>
        <w:t>how the</w:t>
      </w:r>
      <w:r w:rsidR="00BC5BB8" w:rsidRPr="001C12CD">
        <w:rPr>
          <w:i/>
        </w:rPr>
        <w:t>se</w:t>
      </w:r>
      <w:r w:rsidR="005A7256" w:rsidRPr="001C12CD">
        <w:rPr>
          <w:i/>
        </w:rPr>
        <w:t xml:space="preserve"> work, how effective and legitimate they are</w:t>
      </w:r>
      <w:r w:rsidR="005A7256">
        <w:rPr>
          <w:iCs/>
        </w:rPr>
        <w:t>.</w:t>
      </w:r>
    </w:p>
    <w:p w14:paraId="7DCA43F4" w14:textId="2C960B76" w:rsidR="0034413F" w:rsidRDefault="0034413F" w:rsidP="0034413F">
      <w:pPr>
        <w:pStyle w:val="Heading3"/>
      </w:pPr>
      <w:r>
        <w:t xml:space="preserve">Preparation of the conference simulation </w:t>
      </w:r>
      <w:r w:rsidRPr="00651CFF">
        <w:t>presentation</w:t>
      </w:r>
      <w:r>
        <w:t xml:space="preserve"> </w:t>
      </w:r>
    </w:p>
    <w:p w14:paraId="539DF2A2" w14:textId="72591EC5" w:rsidR="0034413F" w:rsidRPr="0034413F" w:rsidRDefault="000A1C8A">
      <w:pPr>
        <w:pStyle w:val="ListParagraph"/>
        <w:numPr>
          <w:ilvl w:val="0"/>
          <w:numId w:val="15"/>
        </w:numPr>
      </w:pPr>
      <w:r>
        <w:t xml:space="preserve">Read M. Lerch, European Parliament Factsheet on human rights (October 2022): </w:t>
      </w:r>
      <w:hyperlink r:id="rId38" w:history="1">
        <w:r w:rsidRPr="004657C1">
          <w:rPr>
            <w:rStyle w:val="Hyperlink"/>
          </w:rPr>
          <w:t>https://www.europarl.europa.eu/factsheets/en/sheet/165/human-rights</w:t>
        </w:r>
      </w:hyperlink>
      <w:r>
        <w:t xml:space="preserve">  [2 p]</w:t>
      </w:r>
    </w:p>
    <w:p w14:paraId="42B390E4" w14:textId="042A8DE3" w:rsidR="0034413F" w:rsidRPr="00A1509F" w:rsidRDefault="0034413F">
      <w:pPr>
        <w:pStyle w:val="ListParagraph"/>
        <w:numPr>
          <w:ilvl w:val="0"/>
          <w:numId w:val="15"/>
        </w:numPr>
        <w:rPr>
          <w:iCs/>
        </w:rPr>
      </w:pPr>
      <w:r w:rsidRPr="00A1509F">
        <w:rPr>
          <w:iCs/>
        </w:rPr>
        <w:t>Select a text of your choice from the list at the end of the syllabus (</w:t>
      </w:r>
      <w:hyperlink w:anchor="_ANNEX_1" w:history="1">
        <w:r w:rsidRPr="00A65AF7">
          <w:rPr>
            <w:rStyle w:val="Hyperlink"/>
            <w:iCs/>
          </w:rPr>
          <w:t>Annex 1</w:t>
        </w:r>
      </w:hyperlink>
      <w:r w:rsidRPr="00A1509F">
        <w:rPr>
          <w:iCs/>
        </w:rPr>
        <w:t xml:space="preserve">). Register your choice in the class </w:t>
      </w:r>
      <w:r w:rsidRPr="00A1509F">
        <w:rPr>
          <w:iCs/>
          <w:highlight w:val="yellow"/>
        </w:rPr>
        <w:t>wiki</w:t>
      </w:r>
      <w:r w:rsidRPr="00A1509F">
        <w:rPr>
          <w:iCs/>
        </w:rPr>
        <w:t xml:space="preserve"> (‘first-come-first-serve’). Prepare a </w:t>
      </w:r>
      <w:r w:rsidR="0067407F" w:rsidRPr="00A1509F">
        <w:rPr>
          <w:i/>
        </w:rPr>
        <w:t>2 minute presentation</w:t>
      </w:r>
      <w:r w:rsidRPr="00A1509F">
        <w:rPr>
          <w:iCs/>
        </w:rPr>
        <w:t xml:space="preserve"> </w:t>
      </w:r>
      <w:r w:rsidR="0067407F" w:rsidRPr="00A1509F">
        <w:rPr>
          <w:iCs/>
        </w:rPr>
        <w:t>(without visual support).</w:t>
      </w:r>
      <w:r w:rsidRPr="00A1509F">
        <w:rPr>
          <w:iCs/>
        </w:rPr>
        <w:t xml:space="preserve"> Present the article/chapter as if you were the author giving a short conference presentatio</w:t>
      </w:r>
      <w:r w:rsidR="00C504B3" w:rsidRPr="00A1509F">
        <w:rPr>
          <w:iCs/>
        </w:rPr>
        <w:t xml:space="preserve">n, </w:t>
      </w:r>
      <w:r w:rsidRPr="00BC5BB8">
        <w:rPr>
          <w:iCs/>
          <w:u w:val="single"/>
        </w:rPr>
        <w:t>introducing the research question and its relevance, outlining key elements of research design, main arguments/findings, conclusions/implications</w:t>
      </w:r>
      <w:r w:rsidR="00C504B3" w:rsidRPr="00BC5BB8">
        <w:rPr>
          <w:iCs/>
          <w:u w:val="single"/>
        </w:rPr>
        <w:t>, relevance to the topic of the class</w:t>
      </w:r>
      <w:r w:rsidR="002664BE" w:rsidRPr="00BC5BB8">
        <w:rPr>
          <w:iCs/>
          <w:u w:val="single"/>
        </w:rPr>
        <w:t xml:space="preserve"> </w:t>
      </w:r>
      <w:r w:rsidR="002664BE" w:rsidRPr="00A1509F">
        <w:rPr>
          <w:iCs/>
        </w:rPr>
        <w:t xml:space="preserve">(ie </w:t>
      </w:r>
      <w:r w:rsidR="002664BE" w:rsidRPr="006016D1">
        <w:rPr>
          <w:i/>
        </w:rPr>
        <w:t>human rights policies, strategies, tools, instruments</w:t>
      </w:r>
      <w:r w:rsidR="006016D1">
        <w:rPr>
          <w:i/>
        </w:rPr>
        <w:t xml:space="preserve">, their </w:t>
      </w:r>
      <w:r w:rsidR="006352FF">
        <w:rPr>
          <w:i/>
        </w:rPr>
        <w:t>design and implementation,</w:t>
      </w:r>
      <w:r w:rsidR="002664BE" w:rsidRPr="006016D1">
        <w:rPr>
          <w:i/>
        </w:rPr>
        <w:t xml:space="preserve"> and their effectiveness</w:t>
      </w:r>
      <w:r w:rsidR="00AA6811" w:rsidRPr="006016D1">
        <w:rPr>
          <w:i/>
        </w:rPr>
        <w:t xml:space="preserve"> and legitimacy</w:t>
      </w:r>
      <w:r w:rsidR="002664BE" w:rsidRPr="006016D1">
        <w:rPr>
          <w:i/>
        </w:rPr>
        <w:t>, in the context of external relations</w:t>
      </w:r>
      <w:r w:rsidR="00BF3204" w:rsidRPr="00A1509F">
        <w:rPr>
          <w:iCs/>
        </w:rPr>
        <w:t>)</w:t>
      </w:r>
      <w:r w:rsidRPr="00A1509F">
        <w:rPr>
          <w:iCs/>
        </w:rPr>
        <w:t xml:space="preserve">. You will be assigned </w:t>
      </w:r>
      <w:r w:rsidR="00C504B3" w:rsidRPr="00A1509F">
        <w:rPr>
          <w:iCs/>
        </w:rPr>
        <w:t xml:space="preserve">as discussant for </w:t>
      </w:r>
      <w:r w:rsidRPr="00A1509F">
        <w:rPr>
          <w:iCs/>
        </w:rPr>
        <w:t>someone else’s presentation</w:t>
      </w:r>
      <w:r w:rsidR="009B451F" w:rsidRPr="00A1509F">
        <w:rPr>
          <w:iCs/>
        </w:rPr>
        <w:t xml:space="preserve">: you can ask </w:t>
      </w:r>
      <w:r w:rsidRPr="00A1509F">
        <w:rPr>
          <w:iCs/>
        </w:rPr>
        <w:t>questions related to the method, challenge the argument or analysis, discuss the conclusions, add further elements</w:t>
      </w:r>
      <w:r w:rsidR="00BF3204" w:rsidRPr="00A1509F">
        <w:rPr>
          <w:iCs/>
        </w:rPr>
        <w:t xml:space="preserve"> etc</w:t>
      </w:r>
      <w:r w:rsidR="009B451F" w:rsidRPr="00A1509F">
        <w:rPr>
          <w:iCs/>
        </w:rPr>
        <w:t xml:space="preserve"> (1 min). The presenter</w:t>
      </w:r>
      <w:r w:rsidR="00BF3204" w:rsidRPr="00A1509F">
        <w:rPr>
          <w:iCs/>
        </w:rPr>
        <w:t>s</w:t>
      </w:r>
      <w:r w:rsidR="009B451F" w:rsidRPr="00A1509F">
        <w:rPr>
          <w:iCs/>
        </w:rPr>
        <w:t xml:space="preserve"> will have 1 min to respond</w:t>
      </w:r>
      <w:r w:rsidRPr="00A1509F">
        <w:rPr>
          <w:iCs/>
        </w:rPr>
        <w:t xml:space="preserve">. </w:t>
      </w:r>
      <w:r w:rsidR="00BF3204" w:rsidRPr="00A1509F">
        <w:rPr>
          <w:iCs/>
        </w:rPr>
        <w:t>Presentations will be organized around panels, which will be communicated before the class.</w:t>
      </w:r>
    </w:p>
    <w:p w14:paraId="59460E12" w14:textId="6C2CB2E6" w:rsidR="0068532A" w:rsidRDefault="0068532A" w:rsidP="0068532A">
      <w:pPr>
        <w:pStyle w:val="Heading3"/>
      </w:pPr>
      <w:r>
        <w:t>Optional</w:t>
      </w:r>
      <w:r w:rsidR="00A1509F">
        <w:t xml:space="preserve"> further reading</w:t>
      </w:r>
    </w:p>
    <w:p w14:paraId="76BC3419" w14:textId="3BEFD244" w:rsidR="00BE607B" w:rsidRPr="00BF3204" w:rsidRDefault="00F676F6">
      <w:pPr>
        <w:pStyle w:val="ListParagraph"/>
        <w:numPr>
          <w:ilvl w:val="0"/>
          <w:numId w:val="2"/>
        </w:numPr>
        <w:rPr>
          <w:szCs w:val="24"/>
          <w:lang w:eastAsia="zh-CN"/>
        </w:rPr>
      </w:pPr>
      <w:r w:rsidRPr="00BF3204">
        <w:rPr>
          <w:szCs w:val="24"/>
          <w:lang w:eastAsia="zh-CN"/>
        </w:rPr>
        <w:t xml:space="preserve">EU Council, EU imposes further restrictive measures </w:t>
      </w:r>
      <w:r w:rsidR="005F388F" w:rsidRPr="00BF3204">
        <w:rPr>
          <w:szCs w:val="24"/>
          <w:lang w:eastAsia="zh-CN"/>
        </w:rPr>
        <w:t xml:space="preserve">against 32 individuals responsible for human rights violations 20 Feb 2023). </w:t>
      </w:r>
      <w:hyperlink r:id="rId39" w:history="1">
        <w:r w:rsidR="0034413F" w:rsidRPr="00BF3204">
          <w:rPr>
            <w:rStyle w:val="Hyperlink"/>
            <w:szCs w:val="24"/>
            <w:lang w:eastAsia="zh-CN"/>
          </w:rPr>
          <w:t>https://www.consilium.europa.eu/en/press/press-releases/2023/02/20/iran-eu-imposes-further-restrictive-measures-against-32-individuals-and-two-entities-responsible-for-human-rights-violations/</w:t>
        </w:r>
      </w:hyperlink>
      <w:r w:rsidR="0034413F" w:rsidRPr="00BF3204">
        <w:rPr>
          <w:szCs w:val="24"/>
          <w:lang w:eastAsia="zh-CN"/>
        </w:rPr>
        <w:t xml:space="preserve"> </w:t>
      </w:r>
    </w:p>
    <w:p w14:paraId="2B071597" w14:textId="01C54362" w:rsidR="001E4B69" w:rsidRPr="00BF3204" w:rsidRDefault="001E4B6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BF3204">
        <w:rPr>
          <w:rFonts w:cstheme="minorHAnsi"/>
          <w:szCs w:val="24"/>
        </w:rPr>
        <w:t>J. Jonás de Gil Insight: ‘The new EU Global Human Rights Sanctions Regime: shortcomings and limitations”, EU law live insight (</w:t>
      </w:r>
      <w:hyperlink r:id="rId40" w:history="1">
        <w:r w:rsidR="00A449BD" w:rsidRPr="00BF3204">
          <w:rPr>
            <w:rStyle w:val="Hyperlink"/>
            <w:rFonts w:cstheme="minorHAnsi"/>
            <w:szCs w:val="24"/>
          </w:rPr>
          <w:t>Insight: “The new EU Global Human Rights Sanctions Regime: shortcomings and limitations” by Juan Jonás de Gil - EU Law Live</w:t>
        </w:r>
      </w:hyperlink>
      <w:r w:rsidR="00A449BD" w:rsidRPr="00BF3204">
        <w:rPr>
          <w:rFonts w:cstheme="minorHAnsi"/>
          <w:szCs w:val="24"/>
        </w:rPr>
        <w:t xml:space="preserve">). </w:t>
      </w:r>
    </w:p>
    <w:p w14:paraId="7C99F63C" w14:textId="605E6FB7" w:rsidR="001E4B69" w:rsidRPr="00BF3204" w:rsidRDefault="000F2B98">
      <w:pPr>
        <w:pStyle w:val="Heading1"/>
        <w:numPr>
          <w:ilvl w:val="0"/>
          <w:numId w:val="2"/>
        </w:numPr>
        <w:rPr>
          <w:rFonts w:cstheme="minorHAnsi"/>
          <w:b w:val="0"/>
          <w:bCs w:val="0"/>
          <w:sz w:val="24"/>
          <w:szCs w:val="24"/>
        </w:rPr>
      </w:pPr>
      <w:r w:rsidRPr="00BF3204">
        <w:rPr>
          <w:rFonts w:cstheme="minorHAnsi"/>
          <w:b w:val="0"/>
          <w:bCs w:val="0"/>
          <w:sz w:val="24"/>
          <w:szCs w:val="24"/>
        </w:rPr>
        <w:lastRenderedPageBreak/>
        <w:t xml:space="preserve">O. Baillet Op-Ed: ’Hearing </w:t>
      </w:r>
      <w:r w:rsidRPr="00BF3204">
        <w:rPr>
          <w:rStyle w:val="Emphasis"/>
          <w:rFonts w:cstheme="minorHAnsi"/>
          <w:b w:val="0"/>
          <w:bCs w:val="0"/>
          <w:sz w:val="24"/>
          <w:szCs w:val="24"/>
        </w:rPr>
        <w:t>in Venezuela v Council</w:t>
      </w:r>
      <w:r w:rsidRPr="00BF3204">
        <w:rPr>
          <w:rFonts w:cstheme="minorHAnsi"/>
          <w:b w:val="0"/>
          <w:bCs w:val="0"/>
          <w:sz w:val="24"/>
          <w:szCs w:val="24"/>
        </w:rPr>
        <w:t xml:space="preserve">: Accommodating New Sanction Litigation by Third States’ ( March 2023) </w:t>
      </w:r>
      <w:hyperlink r:id="rId41" w:history="1">
        <w:r w:rsidRPr="00BF3204">
          <w:rPr>
            <w:rStyle w:val="Hyperlink"/>
            <w:rFonts w:cstheme="minorHAnsi"/>
            <w:b w:val="0"/>
            <w:bCs w:val="0"/>
            <w:sz w:val="24"/>
            <w:szCs w:val="24"/>
          </w:rPr>
          <w:t>https://eulawlive.com/op-ed-hearing-in-venezuela-v-council-accommodating-new-sanction-litigation-by-third-states-by-olivier-baillet/</w:t>
        </w:r>
      </w:hyperlink>
      <w:r w:rsidRPr="00BF3204">
        <w:rPr>
          <w:rFonts w:cstheme="minorHAnsi"/>
          <w:b w:val="0"/>
          <w:bCs w:val="0"/>
          <w:sz w:val="24"/>
          <w:szCs w:val="24"/>
        </w:rPr>
        <w:t xml:space="preserve"> )</w:t>
      </w:r>
    </w:p>
    <w:p w14:paraId="651147E7" w14:textId="77777777" w:rsidR="003A46C9" w:rsidRPr="00651CFF" w:rsidRDefault="003A46C9" w:rsidP="00350A80">
      <w:pPr>
        <w:rPr>
          <w:iCs/>
        </w:rPr>
      </w:pPr>
    </w:p>
    <w:p w14:paraId="16E58EC3" w14:textId="42440337" w:rsidR="00BB52C4" w:rsidRDefault="006A3276" w:rsidP="003A46C9">
      <w:pPr>
        <w:pStyle w:val="Heading2"/>
      </w:pPr>
      <w:r>
        <w:t>13-14</w:t>
      </w:r>
      <w:r w:rsidR="003238CA" w:rsidRPr="00651CFF">
        <w:t>.</w:t>
      </w:r>
      <w:r w:rsidR="00BB52C4" w:rsidRPr="00651CFF">
        <w:t xml:space="preserve"> </w:t>
      </w:r>
      <w:r w:rsidR="00321F24">
        <w:t>Control</w:t>
      </w:r>
      <w:r w:rsidR="00027FE0">
        <w:t xml:space="preserve"> over the r</w:t>
      </w:r>
      <w:r w:rsidR="00430CA6">
        <w:t xml:space="preserve">espect by </w:t>
      </w:r>
      <w:r w:rsidR="00E41F6E" w:rsidRPr="00651CFF">
        <w:t xml:space="preserve">EU institutions and bodies </w:t>
      </w:r>
      <w:r w:rsidR="00430CA6">
        <w:t>of</w:t>
      </w:r>
      <w:r w:rsidR="003A46C9">
        <w:t xml:space="preserve"> </w:t>
      </w:r>
      <w:r w:rsidR="00E41F6E" w:rsidRPr="00651CFF">
        <w:t>EU fundamental rights</w:t>
      </w:r>
      <w:r w:rsidR="00EA7760" w:rsidRPr="00651CFF">
        <w:t xml:space="preserve"> [</w:t>
      </w:r>
      <w:r w:rsidR="003F1873">
        <w:t>A</w:t>
      </w:r>
      <w:r w:rsidR="0088092A" w:rsidRPr="00651CFF">
        <w:t xml:space="preserve">rea of </w:t>
      </w:r>
      <w:r w:rsidR="003F1873">
        <w:t>F</w:t>
      </w:r>
      <w:r w:rsidR="0088092A" w:rsidRPr="00651CFF">
        <w:t xml:space="preserve">reedom, </w:t>
      </w:r>
      <w:r w:rsidR="003F1873">
        <w:t>S</w:t>
      </w:r>
      <w:r w:rsidR="0088092A" w:rsidRPr="00651CFF">
        <w:t xml:space="preserve">ecurity and </w:t>
      </w:r>
      <w:r w:rsidR="003F1873">
        <w:t>J</w:t>
      </w:r>
      <w:r w:rsidR="0088092A" w:rsidRPr="00651CFF">
        <w:t>ustice</w:t>
      </w:r>
      <w:r w:rsidR="003B6A30" w:rsidRPr="00651CFF">
        <w:t>, Economic and Monetary Union</w:t>
      </w:r>
      <w:r w:rsidR="0088092A" w:rsidRPr="00651CFF">
        <w:t>]</w:t>
      </w:r>
      <w:r w:rsidR="00686500">
        <w:t xml:space="preserve"> </w:t>
      </w:r>
    </w:p>
    <w:p w14:paraId="2247B494" w14:textId="750FA3F6" w:rsidR="00EA0F40" w:rsidRDefault="00EA0F40" w:rsidP="00EA0F40">
      <w:r>
        <w:t>EU institutions and bodies are bound to respect fundamental rights laid down in general principles</w:t>
      </w:r>
      <w:r w:rsidR="00267142">
        <w:t xml:space="preserve">, </w:t>
      </w:r>
      <w:r>
        <w:t>the EU Charter</w:t>
      </w:r>
      <w:r w:rsidR="00612FDA">
        <w:t xml:space="preserve">, </w:t>
      </w:r>
      <w:r w:rsidR="00267142">
        <w:t>applicable international human rights instruments</w:t>
      </w:r>
      <w:r w:rsidR="00612FDA">
        <w:t xml:space="preserve"> and EU legislation. T</w:t>
      </w:r>
      <w:r w:rsidR="00132361">
        <w:t>h</w:t>
      </w:r>
      <w:r>
        <w:t xml:space="preserve">is applies to their legislation and regulatory activities, </w:t>
      </w:r>
      <w:r w:rsidR="00612FDA">
        <w:t xml:space="preserve">their </w:t>
      </w:r>
      <w:r w:rsidR="00033ECB">
        <w:t xml:space="preserve">practical </w:t>
      </w:r>
      <w:r w:rsidR="00612FDA">
        <w:t xml:space="preserve">operations, </w:t>
      </w:r>
      <w:r>
        <w:t xml:space="preserve">as well as other policy interventions. </w:t>
      </w:r>
      <w:r w:rsidR="00033ECB">
        <w:t>EU</w:t>
      </w:r>
      <w:r w:rsidR="009164A7">
        <w:t xml:space="preserve"> courts are</w:t>
      </w:r>
      <w:r w:rsidR="00033ECB">
        <w:t xml:space="preserve"> called to review</w:t>
      </w:r>
      <w:r w:rsidR="009164A7">
        <w:t xml:space="preserve"> </w:t>
      </w:r>
      <w:r w:rsidR="00267142">
        <w:t xml:space="preserve">more closely EU acts </w:t>
      </w:r>
      <w:r w:rsidR="00033ECB">
        <w:t>(</w:t>
      </w:r>
      <w:r w:rsidR="00267142">
        <w:t>or omissions</w:t>
      </w:r>
      <w:r w:rsidR="00033ECB">
        <w:t>)</w:t>
      </w:r>
      <w:r w:rsidR="00267142">
        <w:t xml:space="preserve"> in the light of EU fundamental rights norms. </w:t>
      </w:r>
      <w:r>
        <w:t xml:space="preserve">However, the </w:t>
      </w:r>
      <w:r w:rsidR="00E56E12">
        <w:t>complex and mixed</w:t>
      </w:r>
      <w:r w:rsidR="00267142">
        <w:t xml:space="preserve"> </w:t>
      </w:r>
      <w:r>
        <w:t xml:space="preserve">nature of EU </w:t>
      </w:r>
      <w:r w:rsidR="00267142">
        <w:t xml:space="preserve">policy-making and </w:t>
      </w:r>
      <w:r>
        <w:t xml:space="preserve">implementation, </w:t>
      </w:r>
      <w:r w:rsidR="0008787B">
        <w:t>blurs</w:t>
      </w:r>
      <w:r w:rsidR="0090124A">
        <w:t xml:space="preserve"> lines of legal accountability and </w:t>
      </w:r>
      <w:r w:rsidR="0008787B">
        <w:t>shield</w:t>
      </w:r>
      <w:r w:rsidR="009164A7">
        <w:t xml:space="preserve"> certain measures from EU judicial control, which is not always fully compensated by </w:t>
      </w:r>
      <w:r w:rsidR="0008787B">
        <w:t xml:space="preserve">other </w:t>
      </w:r>
      <w:r w:rsidR="00C67110">
        <w:t>accountability mechanisms</w:t>
      </w:r>
      <w:r w:rsidR="0008787B">
        <w:t xml:space="preserve"> at EU or national level</w:t>
      </w:r>
      <w:r w:rsidR="00C67110">
        <w:t>.</w:t>
      </w:r>
    </w:p>
    <w:p w14:paraId="4DA27A51" w14:textId="77777777" w:rsidR="0008787B" w:rsidRDefault="0008787B" w:rsidP="00EA0F40">
      <w:r>
        <w:t>Questions for discussion</w:t>
      </w:r>
    </w:p>
    <w:p w14:paraId="5722F33A" w14:textId="5A9CD4F4" w:rsidR="00A74556" w:rsidRPr="00EA0F40" w:rsidRDefault="00A74556" w:rsidP="00EA0F40">
      <w:r>
        <w:t xml:space="preserve">What judicial procedures are available at EU level to challenge EU acts or omission on fundamental rights grounds? </w:t>
      </w:r>
      <w:r w:rsidR="004414F9">
        <w:t xml:space="preserve">Who can initiate them and under which conditions? </w:t>
      </w:r>
      <w:r>
        <w:t xml:space="preserve">Can </w:t>
      </w:r>
      <w:r w:rsidR="004414F9">
        <w:t>problematic EU acts, actions and omissions</w:t>
      </w:r>
      <w:r>
        <w:t xml:space="preserve"> be contested before national and/or int</w:t>
      </w:r>
      <w:r w:rsidR="008610CA">
        <w:t>ernational or regional human rights courts?</w:t>
      </w:r>
      <w:r w:rsidR="00321F24">
        <w:t xml:space="preserve"> Can EU institutions and bodies’ activities be challenged through other means than judicial?</w:t>
      </w:r>
    </w:p>
    <w:p w14:paraId="78571EA1" w14:textId="33F7A681" w:rsidR="008F0923" w:rsidRPr="00EA478F" w:rsidRDefault="008F0923" w:rsidP="00EA478F">
      <w:pPr>
        <w:pStyle w:val="Heading3"/>
      </w:pPr>
      <w:r w:rsidRPr="00EA478F">
        <w:t>Background reading</w:t>
      </w:r>
    </w:p>
    <w:p w14:paraId="3827D91C" w14:textId="74822E99" w:rsidR="00C8662A" w:rsidRPr="00567134" w:rsidRDefault="00F53FEB">
      <w:pPr>
        <w:pStyle w:val="ListParagraph"/>
        <w:numPr>
          <w:ilvl w:val="0"/>
          <w:numId w:val="18"/>
        </w:numPr>
        <w:rPr>
          <w:szCs w:val="24"/>
        </w:rPr>
      </w:pPr>
      <w:r w:rsidRPr="00EA478F">
        <w:t xml:space="preserve">EP briefings on the </w:t>
      </w:r>
      <w:hyperlink r:id="rId42" w:history="1">
        <w:r w:rsidRPr="00D13704">
          <w:rPr>
            <w:rStyle w:val="Hyperlink"/>
            <w:rFonts w:cs="Calibri"/>
            <w:szCs w:val="24"/>
          </w:rPr>
          <w:t>action for annulment of an EU act</w:t>
        </w:r>
      </w:hyperlink>
      <w:r w:rsidRPr="00EA478F">
        <w:t xml:space="preserve"> (2019) and the </w:t>
      </w:r>
      <w:hyperlink r:id="rId43" w:history="1">
        <w:r w:rsidRPr="00D13704">
          <w:rPr>
            <w:rStyle w:val="Hyperlink"/>
            <w:rFonts w:cs="Calibri"/>
            <w:szCs w:val="24"/>
          </w:rPr>
          <w:t>preliminary reference procedure</w:t>
        </w:r>
      </w:hyperlink>
      <w:r w:rsidRPr="00D13704">
        <w:rPr>
          <w:szCs w:val="24"/>
        </w:rPr>
        <w:t xml:space="preserve"> (2017) </w:t>
      </w:r>
      <w:r w:rsidR="00D13704" w:rsidRPr="00D13704">
        <w:rPr>
          <w:szCs w:val="24"/>
        </w:rPr>
        <w:t>[4p]</w:t>
      </w:r>
      <w:r w:rsidR="001C12CD">
        <w:rPr>
          <w:szCs w:val="24"/>
        </w:rPr>
        <w:t xml:space="preserve"> [</w:t>
      </w:r>
      <w:r w:rsidR="004419B2">
        <w:rPr>
          <w:szCs w:val="24"/>
        </w:rPr>
        <w:t>if you need to refresh your knowledge of those procedures]</w:t>
      </w:r>
    </w:p>
    <w:p w14:paraId="1D90CFA2" w14:textId="3F248D8D" w:rsidR="00F037EC" w:rsidRPr="00EA478F" w:rsidRDefault="00F037EC" w:rsidP="00590922">
      <w:pPr>
        <w:pStyle w:val="Heading3"/>
      </w:pPr>
      <w:r w:rsidRPr="00EA478F">
        <w:t>Mandatory reading</w:t>
      </w:r>
    </w:p>
    <w:p w14:paraId="3346255E" w14:textId="77777777" w:rsidR="00567134" w:rsidRPr="00D13704" w:rsidRDefault="00567134">
      <w:pPr>
        <w:pStyle w:val="ListParagraph"/>
        <w:numPr>
          <w:ilvl w:val="0"/>
          <w:numId w:val="18"/>
        </w:numPr>
        <w:rPr>
          <w:rFonts w:cstheme="minorHAnsi"/>
          <w:szCs w:val="24"/>
        </w:rPr>
      </w:pPr>
      <w:r w:rsidRPr="00D13704">
        <w:rPr>
          <w:rFonts w:cstheme="minorHAnsi"/>
          <w:szCs w:val="24"/>
        </w:rPr>
        <w:t xml:space="preserve">P Craig and G De Burca </w:t>
      </w:r>
      <w:r w:rsidRPr="00D13704">
        <w:rPr>
          <w:rFonts w:cstheme="minorHAnsi"/>
          <w:i/>
          <w:iCs/>
          <w:szCs w:val="24"/>
        </w:rPr>
        <w:t>European Union Law: Texts, Cases and Materials</w:t>
      </w:r>
      <w:r w:rsidRPr="00D13704">
        <w:rPr>
          <w:rFonts w:cstheme="minorHAnsi"/>
          <w:szCs w:val="24"/>
        </w:rPr>
        <w:t xml:space="preserve"> (OUP, 2020), chapter 12 ’Human Rights in the EU’, </w:t>
      </w:r>
      <w:r w:rsidRPr="00D13704">
        <w:rPr>
          <w:rFonts w:cstheme="minorHAnsi"/>
          <w:szCs w:val="24"/>
          <w:highlight w:val="yellow"/>
        </w:rPr>
        <w:t xml:space="preserve">read 434-441 </w:t>
      </w:r>
      <w:r w:rsidRPr="00D13704">
        <w:rPr>
          <w:rFonts w:cstheme="minorHAnsi"/>
          <w:szCs w:val="24"/>
        </w:rPr>
        <w:t>[8p]</w:t>
      </w:r>
    </w:p>
    <w:p w14:paraId="25144B7C" w14:textId="77777777" w:rsidR="00567134" w:rsidRPr="00651CFF" w:rsidRDefault="00567134">
      <w:pPr>
        <w:pStyle w:val="ListParagraph"/>
        <w:numPr>
          <w:ilvl w:val="0"/>
          <w:numId w:val="18"/>
        </w:numPr>
      </w:pPr>
      <w:r>
        <w:t xml:space="preserve">2020 New </w:t>
      </w:r>
      <w:r w:rsidRPr="00AB0B37">
        <w:t>Strategy to strengthen the application of the Charter of Fundamental Rights in the EU</w:t>
      </w:r>
      <w:r>
        <w:t xml:space="preserve"> </w:t>
      </w:r>
      <w:r w:rsidRPr="00D73DE6">
        <w:rPr>
          <w:rFonts w:ascii="Times New Roman" w:hAnsi="Times New Roman"/>
          <w:szCs w:val="24"/>
        </w:rPr>
        <w:t xml:space="preserve">COM/2020/711 final </w:t>
      </w:r>
      <w:hyperlink r:id="rId44" w:history="1">
        <w:r w:rsidRPr="00210403">
          <w:rPr>
            <w:rStyle w:val="Hyperlink"/>
          </w:rPr>
          <w:t>https://eur-lex.europa.eu/legal-content/EN/TXT/?uri=CELEX%3A52020DC0711&amp;qid=1608047356199</w:t>
        </w:r>
      </w:hyperlink>
      <w:r>
        <w:t xml:space="preserve">, </w:t>
      </w:r>
      <w:r w:rsidRPr="002C59F1">
        <w:rPr>
          <w:highlight w:val="yellow"/>
        </w:rPr>
        <w:t>part 3</w:t>
      </w:r>
    </w:p>
    <w:p w14:paraId="158D77F7" w14:textId="77777777" w:rsidR="00A55288" w:rsidRPr="00D13704" w:rsidRDefault="00A55288">
      <w:pPr>
        <w:pStyle w:val="ListParagraph"/>
        <w:numPr>
          <w:ilvl w:val="0"/>
          <w:numId w:val="18"/>
        </w:numPr>
        <w:rPr>
          <w:szCs w:val="24"/>
        </w:rPr>
      </w:pPr>
      <w:r w:rsidRPr="00D13704">
        <w:rPr>
          <w:szCs w:val="24"/>
        </w:rPr>
        <w:t xml:space="preserve">E. Omisevic, ‘Between security secrecy and scrutiny – enigmatic external activities by European agencies and bodies in the fight against crime’ (2021) </w:t>
      </w:r>
      <w:r w:rsidRPr="00D13704">
        <w:rPr>
          <w:i/>
          <w:iCs/>
          <w:szCs w:val="24"/>
        </w:rPr>
        <w:t>European Law Blog</w:t>
      </w:r>
      <w:r w:rsidRPr="00D13704">
        <w:rPr>
          <w:szCs w:val="24"/>
        </w:rPr>
        <w:t xml:space="preserve">  </w:t>
      </w:r>
      <w:hyperlink r:id="rId45" w:history="1">
        <w:r w:rsidRPr="00D13704">
          <w:rPr>
            <w:rStyle w:val="Hyperlink"/>
            <w:rFonts w:cstheme="minorHAnsi"/>
            <w:szCs w:val="24"/>
          </w:rPr>
          <w:t>https://europeanlawblog.eu/2021/11/24/between-security-secrecy-and-scrutiny-enigmatic-external-activities-by-european-agencies-and-bodies-in-the-fight-against-crime/</w:t>
        </w:r>
      </w:hyperlink>
    </w:p>
    <w:p w14:paraId="58D1B3A3" w14:textId="77777777" w:rsidR="004419B2" w:rsidRPr="00C8662A" w:rsidRDefault="004419B2">
      <w:pPr>
        <w:pStyle w:val="ListParagraph"/>
        <w:numPr>
          <w:ilvl w:val="0"/>
          <w:numId w:val="16"/>
        </w:numPr>
        <w:rPr>
          <w:rStyle w:val="Hyperlink"/>
          <w:rFonts w:cstheme="minorHAnsi"/>
          <w:b/>
          <w:color w:val="auto"/>
          <w:szCs w:val="24"/>
          <w:u w:val="none"/>
        </w:rPr>
      </w:pPr>
      <w:r w:rsidRPr="00C8662A">
        <w:rPr>
          <w:rFonts w:cstheme="minorHAnsi"/>
          <w:szCs w:val="24"/>
        </w:rPr>
        <w:t>M. Fink,  ‘</w:t>
      </w:r>
      <w:hyperlink r:id="rId46" w:history="1">
        <w:r w:rsidRPr="00C8662A">
          <w:rPr>
            <w:rStyle w:val="Hyperlink"/>
            <w:rFonts w:cstheme="minorHAnsi"/>
            <w:szCs w:val="24"/>
          </w:rPr>
          <w:t>Why it is so Hard to Hold Frontex Accountable: On Blame-Shifting and an Outdated Remedies System’</w:t>
        </w:r>
      </w:hyperlink>
      <w:r w:rsidRPr="00C8662A">
        <w:rPr>
          <w:rFonts w:cstheme="minorHAnsi"/>
          <w:szCs w:val="24"/>
        </w:rPr>
        <w:t xml:space="preserve"> EJIL! Talk blog (26 Nov 2020) </w:t>
      </w:r>
    </w:p>
    <w:p w14:paraId="25EC6628" w14:textId="75870437" w:rsidR="00CD3880" w:rsidRPr="00EA478F" w:rsidRDefault="00CD3880" w:rsidP="00CD3880">
      <w:pPr>
        <w:pStyle w:val="Heading3"/>
      </w:pPr>
      <w:r>
        <w:t>Further reading</w:t>
      </w:r>
    </w:p>
    <w:p w14:paraId="0AA0004E" w14:textId="77777777" w:rsidR="00B0077C" w:rsidRPr="00C8662A" w:rsidRDefault="00B0077C" w:rsidP="00B0077C">
      <w:pPr>
        <w:pStyle w:val="ListParagraph"/>
        <w:numPr>
          <w:ilvl w:val="0"/>
          <w:numId w:val="20"/>
        </w:numPr>
        <w:rPr>
          <w:rStyle w:val="Hyperlink"/>
          <w:rFonts w:cstheme="minorHAnsi"/>
          <w:b/>
          <w:bCs/>
          <w:color w:val="auto"/>
          <w:szCs w:val="24"/>
          <w:u w:val="none"/>
        </w:rPr>
      </w:pPr>
      <w:r w:rsidRPr="00C8662A">
        <w:rPr>
          <w:szCs w:val="24"/>
        </w:rPr>
        <w:t xml:space="preserve">Frontex’s </w:t>
      </w:r>
      <w:hyperlink r:id="rId47" w:history="1">
        <w:r w:rsidRPr="00C8662A">
          <w:rPr>
            <w:rStyle w:val="Hyperlink"/>
            <w:rFonts w:cs="Calibri"/>
            <w:szCs w:val="24"/>
          </w:rPr>
          <w:t>human rights complaint mechanism</w:t>
        </w:r>
      </w:hyperlink>
    </w:p>
    <w:p w14:paraId="3741E053" w14:textId="0ED59FD0" w:rsidR="00567134" w:rsidRDefault="00567134">
      <w:pPr>
        <w:pStyle w:val="ListParagraph"/>
        <w:numPr>
          <w:ilvl w:val="0"/>
          <w:numId w:val="20"/>
        </w:numPr>
      </w:pPr>
      <w:r w:rsidRPr="00EA478F">
        <w:t>E</w:t>
      </w:r>
      <w:r>
        <w:t xml:space="preserve">. </w:t>
      </w:r>
      <w:r w:rsidRPr="00EA478F">
        <w:t>Spaventa, 'Constitutional creativity or constitutional deception? Acts of the Member States acting collectively and jurisdiction of the Court of Justice', (2021), 58</w:t>
      </w:r>
      <w:r>
        <w:t>:6</w:t>
      </w:r>
      <w:r w:rsidRPr="00EA478F">
        <w:t xml:space="preserve"> </w:t>
      </w:r>
      <w:r w:rsidRPr="00CD3880">
        <w:rPr>
          <w:i/>
          <w:iCs/>
        </w:rPr>
        <w:t>Common Market Law Review</w:t>
      </w:r>
      <w:r w:rsidRPr="00EA478F">
        <w:t xml:space="preserve">, pp. 1697-1730 </w:t>
      </w:r>
    </w:p>
    <w:p w14:paraId="3ECC1305" w14:textId="395D5C7E" w:rsidR="00B350CF" w:rsidRPr="00651CFF" w:rsidRDefault="00B350CF">
      <w:pPr>
        <w:pStyle w:val="ListParagraph"/>
        <w:numPr>
          <w:ilvl w:val="0"/>
          <w:numId w:val="20"/>
        </w:numPr>
      </w:pPr>
      <w:r w:rsidRPr="00651CFF">
        <w:lastRenderedPageBreak/>
        <w:t xml:space="preserve">Commission’s </w:t>
      </w:r>
      <w:r>
        <w:t xml:space="preserve">Annual Report </w:t>
      </w:r>
      <w:r w:rsidRPr="00651CFF">
        <w:t>on the application of the EU Charter for the protection of fundamental rights (20</w:t>
      </w:r>
      <w:r>
        <w:t>21</w:t>
      </w:r>
      <w:r w:rsidRPr="00651CFF">
        <w:t xml:space="preserve">), section </w:t>
      </w:r>
      <w:r>
        <w:t>2</w:t>
      </w:r>
      <w:r w:rsidR="00A96670">
        <w:t xml:space="preserve">.3 </w:t>
      </w:r>
      <w:r>
        <w:t>[pp</w:t>
      </w:r>
      <w:r w:rsidR="00A96670">
        <w:t xml:space="preserve"> </w:t>
      </w:r>
      <w:r>
        <w:t xml:space="preserve"> ] </w:t>
      </w:r>
      <w:hyperlink r:id="rId48" w:history="1">
        <w:r w:rsidRPr="000909FA">
          <w:rPr>
            <w:rStyle w:val="Hyperlink"/>
            <w:rFonts w:cstheme="minorHAnsi"/>
            <w:bCs/>
          </w:rPr>
          <w:t>https://ec.europa.eu/info/sites/default/files/1_1_179442_ann_rep_en_0.pdf</w:t>
        </w:r>
      </w:hyperlink>
      <w:r>
        <w:t xml:space="preserve"> </w:t>
      </w:r>
    </w:p>
    <w:p w14:paraId="294E246D" w14:textId="77777777" w:rsidR="00C8662A" w:rsidRPr="000909FA" w:rsidRDefault="00213D3C">
      <w:pPr>
        <w:pStyle w:val="ListParagraph"/>
        <w:numPr>
          <w:ilvl w:val="0"/>
          <w:numId w:val="20"/>
        </w:numPr>
        <w:rPr>
          <w:rStyle w:val="Hyperlink"/>
          <w:rFonts w:cstheme="minorHAnsi"/>
          <w:b/>
          <w:bCs/>
          <w:color w:val="auto"/>
          <w:szCs w:val="24"/>
          <w:u w:val="none"/>
        </w:rPr>
      </w:pPr>
      <w:r w:rsidRPr="000909FA">
        <w:rPr>
          <w:rStyle w:val="Hyperlink"/>
          <w:rFonts w:cstheme="minorHAnsi"/>
          <w:color w:val="auto"/>
          <w:szCs w:val="24"/>
          <w:u w:val="none"/>
        </w:rPr>
        <w:t xml:space="preserve">European Commission, ‘Operational guidance on taking account of fundamental rights in European Commission impact assessment’, 6 May 2011 </w:t>
      </w:r>
    </w:p>
    <w:p w14:paraId="24AEAC18" w14:textId="77777777" w:rsidR="00911616" w:rsidRDefault="00911616">
      <w:pPr>
        <w:pStyle w:val="ListParagraph"/>
        <w:numPr>
          <w:ilvl w:val="0"/>
          <w:numId w:val="20"/>
        </w:numPr>
      </w:pPr>
      <w:r w:rsidRPr="00EA478F">
        <w:t>C</w:t>
      </w:r>
      <w:r>
        <w:t xml:space="preserve">. </w:t>
      </w:r>
      <w:r w:rsidRPr="00EA478F">
        <w:t xml:space="preserve">Blasi Casagran, </w:t>
      </w:r>
      <w:r>
        <w:t>‘</w:t>
      </w:r>
      <w:r w:rsidRPr="00EA478F">
        <w:t>Fundamental Rights Implications of Interconnecting Migration and Policing Databases in the EU</w:t>
      </w:r>
      <w:r>
        <w:t>’ (2021) 21:2</w:t>
      </w:r>
      <w:r w:rsidRPr="00EA478F">
        <w:t xml:space="preserve"> </w:t>
      </w:r>
      <w:r w:rsidRPr="000909FA">
        <w:rPr>
          <w:rStyle w:val="Emphasis"/>
          <w:szCs w:val="24"/>
        </w:rPr>
        <w:t>Human Rights Law Review</w:t>
      </w:r>
      <w:r w:rsidRPr="00EA478F">
        <w:t>, 433–457</w:t>
      </w:r>
    </w:p>
    <w:p w14:paraId="1F384954" w14:textId="6DCA8C9D" w:rsidR="00C8662A" w:rsidRPr="00C8662A" w:rsidRDefault="002F150E">
      <w:pPr>
        <w:pStyle w:val="ListParagraph"/>
        <w:numPr>
          <w:ilvl w:val="0"/>
          <w:numId w:val="16"/>
        </w:numPr>
        <w:rPr>
          <w:rFonts w:cstheme="minorHAnsi"/>
          <w:b/>
          <w:bCs/>
          <w:szCs w:val="24"/>
        </w:rPr>
      </w:pPr>
      <w:r w:rsidRPr="00C8662A">
        <w:rPr>
          <w:rFonts w:cstheme="minorHAnsi"/>
        </w:rPr>
        <w:t xml:space="preserve">S </w:t>
      </w:r>
      <w:r w:rsidR="00F037EC" w:rsidRPr="00C8662A">
        <w:rPr>
          <w:rFonts w:cstheme="minorHAnsi"/>
        </w:rPr>
        <w:t xml:space="preserve">Léonard, </w:t>
      </w:r>
      <w:r w:rsidRPr="00C8662A">
        <w:rPr>
          <w:rFonts w:cstheme="minorHAnsi"/>
        </w:rPr>
        <w:t>and C</w:t>
      </w:r>
      <w:r w:rsidR="00F037EC" w:rsidRPr="00C8662A">
        <w:rPr>
          <w:rFonts w:cstheme="minorHAnsi"/>
        </w:rPr>
        <w:t xml:space="preserve"> Kaunert. </w:t>
      </w:r>
      <w:r w:rsidR="00C61C81">
        <w:rPr>
          <w:rFonts w:cstheme="minorHAnsi"/>
        </w:rPr>
        <w:t>‘</w:t>
      </w:r>
      <w:r w:rsidR="00F037EC" w:rsidRPr="00C8662A">
        <w:rPr>
          <w:rFonts w:cstheme="minorHAnsi"/>
        </w:rPr>
        <w:t>Between a rock and a hard place?</w:t>
      </w:r>
      <w:r w:rsidR="00C61C81">
        <w:rPr>
          <w:rFonts w:cstheme="minorHAnsi"/>
        </w:rPr>
        <w:t>’</w:t>
      </w:r>
      <w:r w:rsidR="00F037EC" w:rsidRPr="00C8662A">
        <w:rPr>
          <w:rFonts w:cstheme="minorHAnsi"/>
        </w:rPr>
        <w:t>: The European Union’s financial sanctions against suspected terrorists, multilateralism and human rights.</w:t>
      </w:r>
      <w:r w:rsidR="00E01EFF" w:rsidRPr="00C8662A">
        <w:rPr>
          <w:rFonts w:cstheme="minorHAnsi"/>
        </w:rPr>
        <w:t>’</w:t>
      </w:r>
      <w:r w:rsidR="00F037EC" w:rsidRPr="00C8662A">
        <w:rPr>
          <w:rFonts w:cstheme="minorHAnsi"/>
        </w:rPr>
        <w:t xml:space="preserve"> </w:t>
      </w:r>
      <w:r w:rsidR="00E01EFF" w:rsidRPr="00C8662A">
        <w:rPr>
          <w:rFonts w:cstheme="minorHAnsi"/>
        </w:rPr>
        <w:t xml:space="preserve">(2012) 47.4 </w:t>
      </w:r>
      <w:r w:rsidR="00F037EC" w:rsidRPr="00C8662A">
        <w:rPr>
          <w:rFonts w:cstheme="minorHAnsi"/>
          <w:iCs/>
        </w:rPr>
        <w:t>Cooperation and conflict</w:t>
      </w:r>
      <w:r w:rsidR="00F037EC" w:rsidRPr="00C8662A">
        <w:rPr>
          <w:rFonts w:cstheme="minorHAnsi"/>
        </w:rPr>
        <w:t xml:space="preserve"> 473-494.</w:t>
      </w:r>
    </w:p>
    <w:p w14:paraId="0483B3BD" w14:textId="077E4EF9" w:rsidR="002F150E" w:rsidRPr="00CC1228" w:rsidRDefault="002F150E">
      <w:pPr>
        <w:pStyle w:val="ListParagraph"/>
        <w:numPr>
          <w:ilvl w:val="0"/>
          <w:numId w:val="16"/>
        </w:numPr>
        <w:rPr>
          <w:rFonts w:cstheme="minorHAnsi"/>
          <w:b/>
          <w:bCs/>
          <w:szCs w:val="24"/>
        </w:rPr>
      </w:pPr>
      <w:r w:rsidRPr="00651CFF">
        <w:t xml:space="preserve">A </w:t>
      </w:r>
      <w:r w:rsidR="003B6A30" w:rsidRPr="00651CFF">
        <w:t>Poulou</w:t>
      </w:r>
      <w:r w:rsidRPr="00651CFF">
        <w:t xml:space="preserve"> </w:t>
      </w:r>
      <w:r w:rsidR="00E8394B">
        <w:t>‘</w:t>
      </w:r>
      <w:r w:rsidR="003B6A30" w:rsidRPr="00651CFF">
        <w:t xml:space="preserve"> Financial assistance conditionality and human rights protection: What is the role of the EU Charter of Fundamental Rights?</w:t>
      </w:r>
      <w:r w:rsidR="00E8394B">
        <w:t>’</w:t>
      </w:r>
      <w:r w:rsidR="003B6A30" w:rsidRPr="00651CFF">
        <w:t>.</w:t>
      </w:r>
      <w:r w:rsidRPr="00651CFF">
        <w:t xml:space="preserve"> (2017) 54:4</w:t>
      </w:r>
      <w:r w:rsidR="003B6A30" w:rsidRPr="00651CFF">
        <w:t xml:space="preserve"> </w:t>
      </w:r>
      <w:r w:rsidR="003B6A30" w:rsidRPr="00BA00E2">
        <w:rPr>
          <w:i/>
        </w:rPr>
        <w:t>Common Market Law Review</w:t>
      </w:r>
      <w:r w:rsidRPr="00651CFF">
        <w:t xml:space="preserve"> </w:t>
      </w:r>
    </w:p>
    <w:p w14:paraId="7AF042BE" w14:textId="71979325" w:rsidR="002C3FC0" w:rsidRPr="00651CFF" w:rsidRDefault="002C3FC0" w:rsidP="00C8662A">
      <w:pPr>
        <w:pStyle w:val="Heading3"/>
      </w:pPr>
      <w:r w:rsidRPr="00651CFF">
        <w:t>Core case law</w:t>
      </w:r>
    </w:p>
    <w:p w14:paraId="76E22C1D" w14:textId="7F24B16A" w:rsidR="002C3FC0" w:rsidRPr="00FF5B0E" w:rsidRDefault="002C3FC0">
      <w:pPr>
        <w:pStyle w:val="ListParagraph"/>
        <w:numPr>
          <w:ilvl w:val="0"/>
          <w:numId w:val="19"/>
        </w:numPr>
        <w:rPr>
          <w:szCs w:val="24"/>
        </w:rPr>
      </w:pPr>
      <w:r w:rsidRPr="00FF5B0E">
        <w:rPr>
          <w:rStyle w:val="Strong"/>
          <w:rFonts w:cstheme="minorHAnsi"/>
          <w:b w:val="0"/>
          <w:bCs w:val="0"/>
          <w:color w:val="000000" w:themeColor="text1"/>
          <w:szCs w:val="24"/>
        </w:rPr>
        <w:t xml:space="preserve">Joined Cases C-402/05P and C-415/05P, </w:t>
      </w:r>
      <w:r w:rsidRPr="00FF5B0E">
        <w:rPr>
          <w:rStyle w:val="Strong"/>
          <w:rFonts w:cstheme="minorHAnsi"/>
          <w:b w:val="0"/>
          <w:bCs w:val="0"/>
          <w:i/>
          <w:iCs/>
          <w:color w:val="000000" w:themeColor="text1"/>
          <w:szCs w:val="24"/>
        </w:rPr>
        <w:t xml:space="preserve">Yassin Abdullah Kadi and Al Barakaat International Foundation v Council of the European Union and Commission of the European Communities </w:t>
      </w:r>
      <w:r w:rsidR="00A8133A" w:rsidRPr="00FF5B0E">
        <w:rPr>
          <w:rStyle w:val="outputecliaff"/>
          <w:szCs w:val="24"/>
        </w:rPr>
        <w:t>EU:C:2008:461</w:t>
      </w:r>
    </w:p>
    <w:p w14:paraId="5DC35D34" w14:textId="6CB7A5DA" w:rsidR="002C3FC0" w:rsidRPr="00FF5B0E" w:rsidRDefault="002C3FC0">
      <w:pPr>
        <w:pStyle w:val="ListParagraph"/>
        <w:numPr>
          <w:ilvl w:val="0"/>
          <w:numId w:val="19"/>
        </w:numPr>
        <w:rPr>
          <w:rStyle w:val="st"/>
          <w:rFonts w:cstheme="minorHAnsi"/>
          <w:color w:val="000000" w:themeColor="text1"/>
          <w:szCs w:val="24"/>
        </w:rPr>
      </w:pPr>
      <w:r w:rsidRPr="00FF5B0E">
        <w:rPr>
          <w:rStyle w:val="st"/>
          <w:rFonts w:cstheme="minorHAnsi"/>
          <w:color w:val="000000" w:themeColor="text1"/>
          <w:szCs w:val="24"/>
        </w:rPr>
        <w:t xml:space="preserve">C-293/12 </w:t>
      </w:r>
      <w:r w:rsidRPr="00FF5B0E">
        <w:rPr>
          <w:rStyle w:val="Emphasis"/>
          <w:rFonts w:eastAsia="SimSun" w:cstheme="minorHAnsi"/>
          <w:color w:val="000000" w:themeColor="text1"/>
          <w:szCs w:val="24"/>
        </w:rPr>
        <w:t>Digital</w:t>
      </w:r>
      <w:r w:rsidRPr="00FF5B0E">
        <w:rPr>
          <w:rStyle w:val="st"/>
          <w:rFonts w:cstheme="minorHAnsi"/>
          <w:color w:val="000000" w:themeColor="text1"/>
          <w:szCs w:val="24"/>
        </w:rPr>
        <w:t xml:space="preserve"> </w:t>
      </w:r>
      <w:r w:rsidRPr="00FF5B0E">
        <w:rPr>
          <w:rStyle w:val="st"/>
          <w:rFonts w:cstheme="minorHAnsi"/>
          <w:i/>
          <w:color w:val="000000" w:themeColor="text1"/>
          <w:szCs w:val="24"/>
        </w:rPr>
        <w:t>Rights</w:t>
      </w:r>
      <w:r w:rsidRPr="00FF5B0E">
        <w:rPr>
          <w:rStyle w:val="st"/>
          <w:rFonts w:cstheme="minorHAnsi"/>
          <w:color w:val="000000" w:themeColor="text1"/>
          <w:szCs w:val="24"/>
        </w:rPr>
        <w:t xml:space="preserve"> </w:t>
      </w:r>
      <w:r w:rsidRPr="00FF5B0E">
        <w:rPr>
          <w:rStyle w:val="Emphasis"/>
          <w:rFonts w:eastAsia="SimSun" w:cstheme="minorHAnsi"/>
          <w:color w:val="000000" w:themeColor="text1"/>
          <w:szCs w:val="24"/>
        </w:rPr>
        <w:t>Ireland</w:t>
      </w:r>
      <w:r w:rsidRPr="00FF5B0E">
        <w:rPr>
          <w:rStyle w:val="st"/>
          <w:rFonts w:cstheme="minorHAnsi"/>
          <w:color w:val="000000" w:themeColor="text1"/>
          <w:szCs w:val="24"/>
        </w:rPr>
        <w:t xml:space="preserve"> EU:C:2014:23 (data protection)</w:t>
      </w:r>
    </w:p>
    <w:p w14:paraId="41410631" w14:textId="77777777" w:rsidR="002C3FC0" w:rsidRPr="00651CFF" w:rsidRDefault="002C3FC0" w:rsidP="00350A80">
      <w:pPr>
        <w:rPr>
          <w:rFonts w:cstheme="minorHAnsi"/>
          <w:sz w:val="22"/>
        </w:rPr>
      </w:pPr>
    </w:p>
    <w:p w14:paraId="2ADB79B8" w14:textId="430C12FB" w:rsidR="002C3FC0" w:rsidRPr="00651CFF" w:rsidRDefault="002C3FC0" w:rsidP="00C8662A">
      <w:pPr>
        <w:pStyle w:val="Heading3"/>
      </w:pPr>
      <w:r w:rsidRPr="00651CFF">
        <w:t>Cases for presentation</w:t>
      </w:r>
    </w:p>
    <w:p w14:paraId="6DA7F234" w14:textId="69A8A2B0" w:rsidR="002C3FC0" w:rsidRPr="000909FA" w:rsidRDefault="002C3FC0">
      <w:pPr>
        <w:pStyle w:val="ListParagraph"/>
        <w:numPr>
          <w:ilvl w:val="0"/>
          <w:numId w:val="21"/>
        </w:numPr>
        <w:rPr>
          <w:szCs w:val="24"/>
        </w:rPr>
      </w:pPr>
      <w:r w:rsidRPr="000909FA">
        <w:rPr>
          <w:szCs w:val="24"/>
        </w:rPr>
        <w:t xml:space="preserve">C-540/03 </w:t>
      </w:r>
      <w:r w:rsidRPr="000909FA">
        <w:rPr>
          <w:i/>
          <w:szCs w:val="24"/>
        </w:rPr>
        <w:t>European Parliament v Council</w:t>
      </w:r>
      <w:r w:rsidRPr="000909FA">
        <w:rPr>
          <w:iCs/>
          <w:szCs w:val="24"/>
        </w:rPr>
        <w:t xml:space="preserve"> (Family reunion)</w:t>
      </w:r>
      <w:r w:rsidRPr="000909FA">
        <w:rPr>
          <w:szCs w:val="24"/>
        </w:rPr>
        <w:t xml:space="preserve"> </w:t>
      </w:r>
      <w:r w:rsidR="001D0F29" w:rsidRPr="000909FA">
        <w:rPr>
          <w:rStyle w:val="outputecliaff"/>
          <w:szCs w:val="24"/>
        </w:rPr>
        <w:t>EU:C:2006:429</w:t>
      </w:r>
    </w:p>
    <w:p w14:paraId="5F0398B2" w14:textId="3B57DD0C" w:rsidR="002C3FC0" w:rsidRPr="000909FA" w:rsidRDefault="002C3FC0">
      <w:pPr>
        <w:pStyle w:val="ListParagraph"/>
        <w:numPr>
          <w:ilvl w:val="0"/>
          <w:numId w:val="21"/>
        </w:numPr>
        <w:rPr>
          <w:szCs w:val="24"/>
        </w:rPr>
      </w:pPr>
      <w:r w:rsidRPr="000909FA">
        <w:rPr>
          <w:szCs w:val="24"/>
        </w:rPr>
        <w:t xml:space="preserve">C-354/04 </w:t>
      </w:r>
      <w:r w:rsidRPr="000909FA">
        <w:rPr>
          <w:i/>
          <w:iCs/>
          <w:szCs w:val="24"/>
        </w:rPr>
        <w:t>P Gestoras Pro Amnistia</w:t>
      </w:r>
      <w:r w:rsidRPr="000909FA">
        <w:rPr>
          <w:szCs w:val="24"/>
        </w:rPr>
        <w:t xml:space="preserve"> </w:t>
      </w:r>
      <w:r w:rsidR="00FF5B0E" w:rsidRPr="000909FA">
        <w:rPr>
          <w:rStyle w:val="outputecliaff"/>
          <w:szCs w:val="24"/>
        </w:rPr>
        <w:t>EU:C:2007:115</w:t>
      </w:r>
    </w:p>
    <w:p w14:paraId="2805BC68" w14:textId="08D243BB" w:rsidR="002C3FC0" w:rsidRPr="000909FA" w:rsidRDefault="002C3FC0">
      <w:pPr>
        <w:pStyle w:val="ListParagraph"/>
        <w:numPr>
          <w:ilvl w:val="0"/>
          <w:numId w:val="21"/>
        </w:numPr>
        <w:rPr>
          <w:szCs w:val="24"/>
        </w:rPr>
      </w:pPr>
      <w:r w:rsidRPr="000909FA">
        <w:rPr>
          <w:rFonts w:cstheme="minorHAnsi"/>
          <w:szCs w:val="24"/>
        </w:rPr>
        <w:t xml:space="preserve">C-72/15 </w:t>
      </w:r>
      <w:r w:rsidRPr="000909FA">
        <w:rPr>
          <w:rFonts w:cstheme="minorHAnsi"/>
          <w:i/>
          <w:iCs/>
          <w:szCs w:val="24"/>
        </w:rPr>
        <w:t>Rosneft</w:t>
      </w:r>
      <w:r w:rsidRPr="000909FA">
        <w:rPr>
          <w:rFonts w:cstheme="minorHAnsi"/>
          <w:szCs w:val="24"/>
        </w:rPr>
        <w:t xml:space="preserve"> EU:C:2017:236 </w:t>
      </w:r>
    </w:p>
    <w:p w14:paraId="51FD1813" w14:textId="31FD5F92" w:rsidR="001B7C1B" w:rsidRPr="000909FA" w:rsidRDefault="002C3FC0">
      <w:pPr>
        <w:pStyle w:val="ListParagraph"/>
        <w:numPr>
          <w:ilvl w:val="0"/>
          <w:numId w:val="21"/>
        </w:numPr>
        <w:rPr>
          <w:szCs w:val="24"/>
        </w:rPr>
      </w:pPr>
      <w:r w:rsidRPr="000909FA">
        <w:rPr>
          <w:szCs w:val="24"/>
        </w:rPr>
        <w:t xml:space="preserve">Joined Cases C-105/15 P to C-109/15 P </w:t>
      </w:r>
      <w:r w:rsidRPr="000909FA">
        <w:rPr>
          <w:i/>
          <w:iCs/>
          <w:szCs w:val="24"/>
        </w:rPr>
        <w:t>Mallis</w:t>
      </w:r>
      <w:r w:rsidRPr="000909FA">
        <w:rPr>
          <w:szCs w:val="24"/>
        </w:rPr>
        <w:t xml:space="preserve"> EU:C:2016:702</w:t>
      </w:r>
    </w:p>
    <w:p w14:paraId="45B5EEE4" w14:textId="6185E0E8" w:rsidR="004067C0" w:rsidRPr="00D47314" w:rsidRDefault="002C3FC0">
      <w:pPr>
        <w:pStyle w:val="ListParagraph"/>
        <w:numPr>
          <w:ilvl w:val="0"/>
          <w:numId w:val="21"/>
        </w:numPr>
        <w:rPr>
          <w:rStyle w:val="acopre"/>
          <w:rFonts w:cs="Calibri"/>
          <w:szCs w:val="24"/>
          <w:lang w:val="de-AT"/>
        </w:rPr>
      </w:pPr>
      <w:r w:rsidRPr="00D47314">
        <w:rPr>
          <w:szCs w:val="24"/>
          <w:lang w:val="de-AT"/>
        </w:rPr>
        <w:t xml:space="preserve">C-362/14 </w:t>
      </w:r>
      <w:r w:rsidRPr="00D47314">
        <w:rPr>
          <w:i/>
          <w:iCs/>
          <w:szCs w:val="24"/>
          <w:lang w:val="de-AT"/>
        </w:rPr>
        <w:t>Schrems</w:t>
      </w:r>
      <w:r w:rsidRPr="00D47314">
        <w:rPr>
          <w:szCs w:val="24"/>
          <w:lang w:val="de-AT"/>
        </w:rPr>
        <w:t xml:space="preserve"> [I] </w:t>
      </w:r>
      <w:r w:rsidRPr="00D47314">
        <w:rPr>
          <w:rStyle w:val="acopre"/>
          <w:rFonts w:cs="Calibri"/>
          <w:szCs w:val="24"/>
          <w:lang w:val="de-AT"/>
        </w:rPr>
        <w:t>EU:C:2015:65</w:t>
      </w:r>
    </w:p>
    <w:p w14:paraId="6812192B" w14:textId="3195312E" w:rsidR="00C034DE" w:rsidRPr="000909FA" w:rsidRDefault="00C034DE">
      <w:pPr>
        <w:pStyle w:val="ListParagraph"/>
        <w:numPr>
          <w:ilvl w:val="0"/>
          <w:numId w:val="21"/>
        </w:numPr>
        <w:rPr>
          <w:rStyle w:val="acopre"/>
          <w:rFonts w:cs="Calibri"/>
          <w:szCs w:val="24"/>
        </w:rPr>
      </w:pPr>
      <w:r w:rsidRPr="000909FA">
        <w:rPr>
          <w:szCs w:val="24"/>
        </w:rPr>
        <w:t xml:space="preserve">C-2018/17 P </w:t>
      </w:r>
      <w:r w:rsidRPr="000909FA">
        <w:rPr>
          <w:i/>
          <w:iCs/>
          <w:szCs w:val="24"/>
        </w:rPr>
        <w:t xml:space="preserve">NF and Others v European Council </w:t>
      </w:r>
      <w:r w:rsidR="005409E8" w:rsidRPr="000909FA">
        <w:rPr>
          <w:rStyle w:val="outputecliaff"/>
          <w:szCs w:val="24"/>
        </w:rPr>
        <w:t>EU:C:2018:705</w:t>
      </w:r>
    </w:p>
    <w:p w14:paraId="4B7F1FD8" w14:textId="60483EB3" w:rsidR="00C8662A" w:rsidRPr="00D47314" w:rsidRDefault="002C3FC0">
      <w:pPr>
        <w:pStyle w:val="ListParagraph"/>
        <w:numPr>
          <w:ilvl w:val="0"/>
          <w:numId w:val="21"/>
        </w:numPr>
        <w:rPr>
          <w:rStyle w:val="outputecliaff"/>
          <w:szCs w:val="24"/>
          <w:lang w:val="fr-FR"/>
        </w:rPr>
      </w:pPr>
      <w:r w:rsidRPr="00D47314">
        <w:rPr>
          <w:szCs w:val="24"/>
          <w:lang w:val="fr-FR"/>
        </w:rPr>
        <w:t xml:space="preserve">T-517/19 </w:t>
      </w:r>
      <w:r w:rsidRPr="00D47314">
        <w:rPr>
          <w:i/>
          <w:iCs/>
          <w:szCs w:val="24"/>
          <w:lang w:val="fr-FR"/>
        </w:rPr>
        <w:t>Andreas Homoki v European Commission</w:t>
      </w:r>
      <w:r w:rsidRPr="00D47314">
        <w:rPr>
          <w:szCs w:val="24"/>
          <w:lang w:val="fr-FR"/>
        </w:rPr>
        <w:t xml:space="preserve"> </w:t>
      </w:r>
      <w:r w:rsidRPr="00D47314">
        <w:rPr>
          <w:rStyle w:val="outputecliaff"/>
          <w:szCs w:val="24"/>
          <w:lang w:val="fr-FR"/>
        </w:rPr>
        <w:t>EU:T:2021:529</w:t>
      </w:r>
    </w:p>
    <w:p w14:paraId="4E9A50FD" w14:textId="22543E90" w:rsidR="00AE66D6" w:rsidRPr="000909FA" w:rsidRDefault="00AE66D6">
      <w:pPr>
        <w:pStyle w:val="ListParagraph"/>
        <w:numPr>
          <w:ilvl w:val="0"/>
          <w:numId w:val="21"/>
        </w:numPr>
        <w:rPr>
          <w:szCs w:val="24"/>
        </w:rPr>
      </w:pPr>
      <w:r w:rsidRPr="000909FA">
        <w:rPr>
          <w:szCs w:val="24"/>
        </w:rPr>
        <w:t xml:space="preserve">C-597/18 P, C-598/18 P, C-603/18 P and C-604/18 P </w:t>
      </w:r>
      <w:r w:rsidRPr="000909FA">
        <w:rPr>
          <w:rStyle w:val="Emphasis"/>
          <w:szCs w:val="24"/>
        </w:rPr>
        <w:t>Council v Chrysostomides &amp; Co. and Others</w:t>
      </w:r>
      <w:r w:rsidRPr="000909FA">
        <w:rPr>
          <w:szCs w:val="24"/>
        </w:rPr>
        <w:t xml:space="preserve"> EU:C:2020:1028</w:t>
      </w:r>
    </w:p>
    <w:p w14:paraId="056F784F" w14:textId="233110F8" w:rsidR="00C8662A" w:rsidRPr="000909FA" w:rsidRDefault="00752416">
      <w:pPr>
        <w:pStyle w:val="ListParagraph"/>
        <w:numPr>
          <w:ilvl w:val="0"/>
          <w:numId w:val="21"/>
        </w:numPr>
        <w:rPr>
          <w:rStyle w:val="outputecliaff"/>
          <w:rFonts w:cstheme="minorHAnsi"/>
          <w:szCs w:val="24"/>
        </w:rPr>
      </w:pPr>
      <w:r w:rsidRPr="000909FA">
        <w:rPr>
          <w:rStyle w:val="Emphasis"/>
          <w:i w:val="0"/>
          <w:iCs w:val="0"/>
          <w:szCs w:val="24"/>
        </w:rPr>
        <w:t>C-458/19</w:t>
      </w:r>
      <w:r w:rsidRPr="000909FA">
        <w:rPr>
          <w:rStyle w:val="Emphasis"/>
          <w:szCs w:val="24"/>
        </w:rPr>
        <w:t xml:space="preserve"> P </w:t>
      </w:r>
      <w:r w:rsidR="00C8662A" w:rsidRPr="000909FA">
        <w:rPr>
          <w:rStyle w:val="Emphasis"/>
          <w:szCs w:val="24"/>
        </w:rPr>
        <w:t>ClientEarth v Commission and ECHA</w:t>
      </w:r>
      <w:r w:rsidR="00BE6B74" w:rsidRPr="000909FA">
        <w:rPr>
          <w:rStyle w:val="Emphasis"/>
          <w:szCs w:val="24"/>
        </w:rPr>
        <w:t xml:space="preserve"> </w:t>
      </w:r>
      <w:r w:rsidR="00BE6B74" w:rsidRPr="000909FA">
        <w:rPr>
          <w:rStyle w:val="outputecliaff"/>
          <w:szCs w:val="24"/>
        </w:rPr>
        <w:t>EU:C:2021:802</w:t>
      </w:r>
    </w:p>
    <w:p w14:paraId="2C64CD57" w14:textId="7AB85F55" w:rsidR="00467487" w:rsidRPr="00A0014C" w:rsidRDefault="00467487">
      <w:pPr>
        <w:pStyle w:val="ListParagraph"/>
        <w:numPr>
          <w:ilvl w:val="0"/>
          <w:numId w:val="21"/>
        </w:numPr>
        <w:rPr>
          <w:rStyle w:val="outputecliaff"/>
          <w:rFonts w:cstheme="minorHAnsi"/>
          <w:szCs w:val="24"/>
        </w:rPr>
      </w:pPr>
      <w:r w:rsidRPr="000909FA">
        <w:rPr>
          <w:rStyle w:val="Emphasis"/>
          <w:i w:val="0"/>
          <w:iCs w:val="0"/>
          <w:szCs w:val="24"/>
        </w:rPr>
        <w:t>C-91/20</w:t>
      </w:r>
      <w:r w:rsidRPr="000909FA">
        <w:rPr>
          <w:rStyle w:val="Emphasis"/>
          <w:szCs w:val="24"/>
        </w:rPr>
        <w:t xml:space="preserve"> </w:t>
      </w:r>
      <w:r w:rsidR="00575F12" w:rsidRPr="000909FA">
        <w:rPr>
          <w:rStyle w:val="Emphasis"/>
          <w:szCs w:val="24"/>
        </w:rPr>
        <w:t>L</w:t>
      </w:r>
      <w:r w:rsidRPr="000909FA">
        <w:rPr>
          <w:rStyle w:val="Emphasis"/>
          <w:szCs w:val="24"/>
        </w:rPr>
        <w:t>W</w:t>
      </w:r>
      <w:r w:rsidR="00575F12" w:rsidRPr="000909FA">
        <w:rPr>
          <w:rStyle w:val="Emphasis"/>
          <w:szCs w:val="24"/>
        </w:rPr>
        <w:t xml:space="preserve"> </w:t>
      </w:r>
      <w:r w:rsidR="00575F12" w:rsidRPr="000909FA">
        <w:rPr>
          <w:rStyle w:val="outputecliaff"/>
          <w:szCs w:val="24"/>
        </w:rPr>
        <w:t>EU:C:2021:898</w:t>
      </w:r>
    </w:p>
    <w:p w14:paraId="7FBDB7DC" w14:textId="12A6C159" w:rsidR="005607F0" w:rsidRPr="005607F0" w:rsidRDefault="00A0014C">
      <w:pPr>
        <w:pStyle w:val="ListParagraph"/>
        <w:numPr>
          <w:ilvl w:val="0"/>
          <w:numId w:val="21"/>
        </w:numPr>
        <w:rPr>
          <w:rStyle w:val="outputecliaff"/>
          <w:rFonts w:cstheme="minorHAnsi"/>
          <w:szCs w:val="24"/>
          <w:lang w:val="fr-FR"/>
        </w:rPr>
      </w:pPr>
      <w:r w:rsidRPr="008E76A7">
        <w:rPr>
          <w:lang w:val="fr-FR"/>
        </w:rPr>
        <w:t>T</w:t>
      </w:r>
      <w:r w:rsidRPr="008E76A7">
        <w:rPr>
          <w:lang w:val="fr-FR"/>
        </w:rPr>
        <w:noBreakHyphen/>
        <w:t xml:space="preserve">401/21, </w:t>
      </w:r>
      <w:r w:rsidRPr="008E76A7">
        <w:rPr>
          <w:rStyle w:val="Emphasis"/>
          <w:lang w:val="fr-FR"/>
        </w:rPr>
        <w:t>KN v European Parliament</w:t>
      </w:r>
      <w:r w:rsidR="008E76A7" w:rsidRPr="008E76A7">
        <w:rPr>
          <w:rStyle w:val="Emphasis"/>
          <w:lang w:val="fr-FR"/>
        </w:rPr>
        <w:t xml:space="preserve"> </w:t>
      </w:r>
      <w:r w:rsidR="008E76A7" w:rsidRPr="008E76A7">
        <w:rPr>
          <w:rStyle w:val="outputecliaff"/>
          <w:lang w:val="fr-FR"/>
        </w:rPr>
        <w:t>EU:T:2022:736</w:t>
      </w:r>
    </w:p>
    <w:p w14:paraId="10044A0A" w14:textId="2250D922" w:rsidR="005607F0" w:rsidRPr="001B069B" w:rsidRDefault="005607F0">
      <w:pPr>
        <w:pStyle w:val="ListParagraph"/>
        <w:numPr>
          <w:ilvl w:val="0"/>
          <w:numId w:val="21"/>
        </w:numPr>
        <w:rPr>
          <w:rStyle w:val="Emphasis"/>
          <w:rFonts w:cstheme="minorHAnsi"/>
          <w:i w:val="0"/>
          <w:iCs w:val="0"/>
          <w:szCs w:val="24"/>
        </w:rPr>
      </w:pPr>
      <w:r w:rsidRPr="001B069B">
        <w:rPr>
          <w:rFonts w:cstheme="minorHAnsi"/>
          <w:szCs w:val="24"/>
        </w:rPr>
        <w:t xml:space="preserve">Case C-622/20 P, </w:t>
      </w:r>
      <w:r w:rsidRPr="001B069B">
        <w:rPr>
          <w:rFonts w:cstheme="minorHAnsi"/>
          <w:i/>
          <w:iCs/>
          <w:szCs w:val="24"/>
        </w:rPr>
        <w:t>Validity and Center for Independent Living v Commission</w:t>
      </w:r>
      <w:r w:rsidR="001B069B" w:rsidRPr="001B069B">
        <w:rPr>
          <w:rFonts w:cstheme="minorHAnsi"/>
          <w:szCs w:val="24"/>
        </w:rPr>
        <w:t xml:space="preserve"> </w:t>
      </w:r>
      <w:r w:rsidR="001B069B" w:rsidRPr="001B069B">
        <w:rPr>
          <w:rStyle w:val="outputecliaff"/>
          <w:rFonts w:cstheme="minorHAnsi"/>
          <w:szCs w:val="24"/>
        </w:rPr>
        <w:t>EU:C:2021:310</w:t>
      </w:r>
    </w:p>
    <w:p w14:paraId="69F16057" w14:textId="77777777" w:rsidR="00026D45" w:rsidRPr="005607F0" w:rsidRDefault="00026D45">
      <w:pPr>
        <w:pStyle w:val="ListParagraph"/>
        <w:numPr>
          <w:ilvl w:val="0"/>
          <w:numId w:val="21"/>
        </w:numPr>
        <w:rPr>
          <w:rStyle w:val="Emphasis"/>
          <w:rFonts w:cstheme="minorHAnsi"/>
          <w:i w:val="0"/>
          <w:iCs w:val="0"/>
          <w:szCs w:val="24"/>
        </w:rPr>
      </w:pPr>
    </w:p>
    <w:p w14:paraId="661A4A9D" w14:textId="33422D12" w:rsidR="00026D45" w:rsidRPr="00026D45" w:rsidRDefault="00026D45" w:rsidP="00026D45">
      <w:pPr>
        <w:rPr>
          <w:rStyle w:val="Emphasis"/>
          <w:rFonts w:cstheme="minorHAnsi"/>
          <w:i w:val="0"/>
          <w:iCs w:val="0"/>
          <w:szCs w:val="24"/>
        </w:rPr>
      </w:pPr>
      <w:r>
        <w:rPr>
          <w:rStyle w:val="Emphasis"/>
          <w:rFonts w:cstheme="minorHAnsi"/>
          <w:i w:val="0"/>
          <w:iCs w:val="0"/>
          <w:szCs w:val="24"/>
        </w:rPr>
        <w:t>Practical case</w:t>
      </w:r>
    </w:p>
    <w:p w14:paraId="107487CB" w14:textId="1B923F41" w:rsidR="00CD34A1" w:rsidRPr="00026D45" w:rsidRDefault="00000000">
      <w:pPr>
        <w:pStyle w:val="ListParagraph"/>
        <w:numPr>
          <w:ilvl w:val="0"/>
          <w:numId w:val="21"/>
        </w:numPr>
        <w:rPr>
          <w:rFonts w:cstheme="minorHAnsi"/>
          <w:sz w:val="22"/>
          <w:lang w:val="fr-FR"/>
        </w:rPr>
      </w:pPr>
      <w:hyperlink r:id="rId49" w:tgtFrame="_blank" w:history="1">
        <w:r w:rsidR="00CD34A1" w:rsidRPr="00026D45">
          <w:rPr>
            <w:rStyle w:val="Hyperlink"/>
            <w:sz w:val="22"/>
            <w:lang w:val="fr-FR"/>
          </w:rPr>
          <w:t>T-798/22</w:t>
        </w:r>
      </w:hyperlink>
      <w:r w:rsidR="00D520FB" w:rsidRPr="00026D45">
        <w:rPr>
          <w:sz w:val="22"/>
          <w:lang w:val="fr-FR"/>
        </w:rPr>
        <w:t xml:space="preserve">  </w:t>
      </w:r>
      <w:r w:rsidR="00677E3E" w:rsidRPr="00026D45">
        <w:rPr>
          <w:rStyle w:val="Hyperlink"/>
          <w:i/>
          <w:iCs/>
          <w:sz w:val="22"/>
          <w:lang w:val="fr-FR"/>
        </w:rPr>
        <w:t>O</w:t>
      </w:r>
      <w:r w:rsidR="00677E3E" w:rsidRPr="00026D45">
        <w:rPr>
          <w:rStyle w:val="markedcontent"/>
          <w:rFonts w:cs="Arial"/>
          <w:i/>
          <w:iCs/>
          <w:sz w:val="22"/>
          <w:lang w:val="fr-FR"/>
        </w:rPr>
        <w:t>rdre néerlandais des avocats du barreau de Bruxelles and</w:t>
      </w:r>
      <w:r w:rsidR="00677E3E" w:rsidRPr="00026D45">
        <w:rPr>
          <w:i/>
          <w:iCs/>
          <w:sz w:val="22"/>
          <w:lang w:val="fr-FR"/>
        </w:rPr>
        <w:br/>
      </w:r>
      <w:r w:rsidR="00677E3E" w:rsidRPr="00026D45">
        <w:rPr>
          <w:rStyle w:val="markedcontent"/>
          <w:rFonts w:cs="Arial"/>
          <w:i/>
          <w:iCs/>
          <w:sz w:val="22"/>
          <w:lang w:val="fr-FR"/>
        </w:rPr>
        <w:t>Others v Council</w:t>
      </w:r>
      <w:r w:rsidR="00677E3E" w:rsidRPr="00026D45">
        <w:rPr>
          <w:rStyle w:val="markedcontent"/>
          <w:rFonts w:cs="Arial"/>
          <w:sz w:val="22"/>
          <w:lang w:val="fr-FR"/>
        </w:rPr>
        <w:t xml:space="preserve"> </w:t>
      </w:r>
      <w:r w:rsidR="00D520FB" w:rsidRPr="00026D45">
        <w:rPr>
          <w:sz w:val="22"/>
          <w:lang w:val="fr-FR"/>
        </w:rPr>
        <w:t xml:space="preserve">and </w:t>
      </w:r>
      <w:hyperlink r:id="rId50" w:tgtFrame="_blank" w:history="1">
        <w:r w:rsidR="00D520FB" w:rsidRPr="00026D45">
          <w:rPr>
            <w:rStyle w:val="Hyperlink"/>
            <w:sz w:val="22"/>
            <w:lang w:val="fr-FR"/>
          </w:rPr>
          <w:t>T-797/22</w:t>
        </w:r>
      </w:hyperlink>
      <w:r w:rsidR="00677E3E" w:rsidRPr="00026D45">
        <w:rPr>
          <w:rStyle w:val="markedcontent"/>
          <w:rFonts w:cs="Arial"/>
          <w:sz w:val="22"/>
          <w:lang w:val="fr-FR"/>
        </w:rPr>
        <w:t xml:space="preserve"> </w:t>
      </w:r>
      <w:r w:rsidR="00677E3E" w:rsidRPr="00026D45">
        <w:rPr>
          <w:rStyle w:val="markedcontent"/>
          <w:rFonts w:cs="Arial"/>
          <w:i/>
          <w:iCs/>
          <w:sz w:val="22"/>
          <w:lang w:val="fr-FR"/>
        </w:rPr>
        <w:t>Ordre des avocats à la cour de Paris and Couturier v</w:t>
      </w:r>
      <w:r w:rsidR="00677E3E" w:rsidRPr="00026D45">
        <w:rPr>
          <w:i/>
          <w:iCs/>
          <w:sz w:val="22"/>
          <w:lang w:val="fr-FR"/>
        </w:rPr>
        <w:t xml:space="preserve"> </w:t>
      </w:r>
      <w:r w:rsidR="00677E3E" w:rsidRPr="00026D45">
        <w:rPr>
          <w:rStyle w:val="markedcontent"/>
          <w:rFonts w:cs="Arial"/>
          <w:i/>
          <w:iCs/>
          <w:sz w:val="22"/>
          <w:lang w:val="fr-FR"/>
        </w:rPr>
        <w:t>Council</w:t>
      </w:r>
      <w:r w:rsidR="00026D45">
        <w:rPr>
          <w:rStyle w:val="markedcontent"/>
          <w:rFonts w:cs="Arial"/>
          <w:sz w:val="22"/>
          <w:lang w:val="fr-FR"/>
        </w:rPr>
        <w:t xml:space="preserve"> [pending]</w:t>
      </w:r>
    </w:p>
    <w:p w14:paraId="743580F4" w14:textId="26BF72FF" w:rsidR="00B83DB5" w:rsidRPr="005470DE" w:rsidRDefault="00B83DB5" w:rsidP="00350A80">
      <w:pPr>
        <w:rPr>
          <w:lang w:val="fr-FR"/>
        </w:rPr>
      </w:pPr>
    </w:p>
    <w:p w14:paraId="197D9500" w14:textId="0B5EDCAD" w:rsidR="00951519" w:rsidRDefault="005E1F73" w:rsidP="00E16F22">
      <w:pPr>
        <w:pStyle w:val="Heading2"/>
      </w:pPr>
      <w:r>
        <w:lastRenderedPageBreak/>
        <w:t>15-16</w:t>
      </w:r>
      <w:r w:rsidR="00981602" w:rsidRPr="00651CFF">
        <w:t xml:space="preserve"> </w:t>
      </w:r>
      <w:r w:rsidR="008E76A7">
        <w:t xml:space="preserve">Ensuring </w:t>
      </w:r>
      <w:r w:rsidR="00AD2DAB" w:rsidRPr="00651CFF">
        <w:t xml:space="preserve">Member </w:t>
      </w:r>
      <w:r w:rsidR="00981602" w:rsidRPr="00651CFF">
        <w:t>S</w:t>
      </w:r>
      <w:r w:rsidR="00AD2DAB" w:rsidRPr="00651CFF">
        <w:t xml:space="preserve">tates </w:t>
      </w:r>
      <w:r w:rsidR="00430CA6">
        <w:t xml:space="preserve">compliance with </w:t>
      </w:r>
      <w:r w:rsidR="00AD2DAB" w:rsidRPr="00651CFF">
        <w:t>EU fundamental rights</w:t>
      </w:r>
      <w:r w:rsidR="00575F12">
        <w:t xml:space="preserve"> [Area of Freedom, Security and Justice</w:t>
      </w:r>
      <w:r w:rsidR="00EA32A2">
        <w:t xml:space="preserve"> – civil society]</w:t>
      </w:r>
      <w:r w:rsidR="00686500">
        <w:t xml:space="preserve"> </w:t>
      </w:r>
    </w:p>
    <w:p w14:paraId="745BE5F3" w14:textId="6F26B6E7" w:rsidR="00FD5EC9" w:rsidRDefault="00FD5EC9" w:rsidP="00FD5EC9">
      <w:r>
        <w:t>The Charter</w:t>
      </w:r>
      <w:r w:rsidR="0028698E">
        <w:t xml:space="preserve"> and general principles</w:t>
      </w:r>
      <w:r>
        <w:t xml:space="preserve"> applies to the member states when they implement</w:t>
      </w:r>
      <w:r w:rsidR="0028698E">
        <w:t>/</w:t>
      </w:r>
      <w:r w:rsidR="00EA4DFB">
        <w:t>act within the scope of EU law</w:t>
      </w:r>
      <w:r w:rsidR="00687317">
        <w:t>.</w:t>
      </w:r>
      <w:r w:rsidR="00EA4DFB">
        <w:t xml:space="preserve"> </w:t>
      </w:r>
      <w:r w:rsidR="00687317">
        <w:t>O</w:t>
      </w:r>
      <w:r w:rsidR="00EA4DFB">
        <w:t xml:space="preserve">ther legal instruments protecting rights (Treaty provisions, legislation, etc) </w:t>
      </w:r>
      <w:r w:rsidR="00687317">
        <w:t xml:space="preserve">are applicable </w:t>
      </w:r>
      <w:r w:rsidR="00EA4DFB">
        <w:t xml:space="preserve">within their </w:t>
      </w:r>
      <w:r w:rsidR="00123AD7">
        <w:t xml:space="preserve">defined </w:t>
      </w:r>
      <w:r w:rsidR="00EA4DFB">
        <w:t>scope</w:t>
      </w:r>
      <w:r w:rsidR="00123AD7">
        <w:t xml:space="preserve">. </w:t>
      </w:r>
      <w:r w:rsidR="00EA4DFB">
        <w:t xml:space="preserve">The </w:t>
      </w:r>
      <w:r w:rsidR="00B841C1">
        <w:t xml:space="preserve">scope of application of </w:t>
      </w:r>
      <w:r w:rsidR="00C164B0">
        <w:t>the Charter and general principles</w:t>
      </w:r>
      <w:r w:rsidR="00B841C1">
        <w:t xml:space="preserve"> has been a contentious issue for a long time, as</w:t>
      </w:r>
      <w:r w:rsidR="001F1985">
        <w:t xml:space="preserve"> member states </w:t>
      </w:r>
      <w:r w:rsidR="00A723E8">
        <w:t>fear</w:t>
      </w:r>
      <w:r w:rsidR="001F1985">
        <w:t xml:space="preserve"> that the Charter may be used to expend </w:t>
      </w:r>
      <w:r w:rsidR="003F0EFE">
        <w:t xml:space="preserve">EU’s influence beyond its formal competence, restrict national autonomy and </w:t>
      </w:r>
      <w:r w:rsidR="00123AD7">
        <w:t>undermine diversity.</w:t>
      </w:r>
      <w:r w:rsidR="00A723E8">
        <w:t xml:space="preserve"> </w:t>
      </w:r>
      <w:r w:rsidR="00B60347">
        <w:t xml:space="preserve">Internal market, </w:t>
      </w:r>
      <w:r w:rsidR="005A68CD">
        <w:t xml:space="preserve">and </w:t>
      </w:r>
      <w:r w:rsidR="008E068F">
        <w:t xml:space="preserve">EU citizenship provisions and now </w:t>
      </w:r>
      <w:r w:rsidR="00BA6854">
        <w:t xml:space="preserve">the </w:t>
      </w:r>
      <w:r w:rsidR="00B537AE">
        <w:t xml:space="preserve">principle of </w:t>
      </w:r>
      <w:r w:rsidR="00BA6854">
        <w:t xml:space="preserve">effective judicial protection </w:t>
      </w:r>
      <w:r w:rsidR="00FE3D4B">
        <w:t>are</w:t>
      </w:r>
      <w:r w:rsidR="00266948">
        <w:t xml:space="preserve"> being</w:t>
      </w:r>
      <w:r w:rsidR="00FE3D4B">
        <w:t xml:space="preserve"> relied on to </w:t>
      </w:r>
      <w:r w:rsidR="00266948">
        <w:t>apply</w:t>
      </w:r>
      <w:r w:rsidR="005A68CD">
        <w:t xml:space="preserve"> EU judicial control over</w:t>
      </w:r>
      <w:r w:rsidR="00B60347">
        <w:t xml:space="preserve"> member states </w:t>
      </w:r>
      <w:r w:rsidR="005A68CD">
        <w:t>compliance with EU rights.</w:t>
      </w:r>
    </w:p>
    <w:p w14:paraId="6B0AAB1C" w14:textId="7BF2EACC" w:rsidR="009635DF" w:rsidRDefault="009635DF" w:rsidP="00FD5EC9">
      <w:r>
        <w:t>Discussion questions</w:t>
      </w:r>
    </w:p>
    <w:p w14:paraId="2D432A46" w14:textId="1CC0422E" w:rsidR="009635DF" w:rsidRDefault="009635DF" w:rsidP="00FD5EC9">
      <w:r>
        <w:t xml:space="preserve">How can the EU ensure member states respect EU core human rights values, without encroaching upon </w:t>
      </w:r>
      <w:r w:rsidR="00EA439B">
        <w:t xml:space="preserve">national </w:t>
      </w:r>
      <w:r w:rsidR="002B47B8">
        <w:t>competences and sovereignty?</w:t>
      </w:r>
      <w:r w:rsidR="00915693">
        <w:t xml:space="preserve"> How much diversity does the EU system of fundamental rights cater for?</w:t>
      </w:r>
      <w:r w:rsidR="00EA439B">
        <w:t xml:space="preserve"> Are available judicial procedures effective in ensuring member states’ compliance with EU fundamental rights norms? What non-judicial tools </w:t>
      </w:r>
      <w:r w:rsidR="002B47B8">
        <w:t>can be used to pressure member states to live up to their Charter commitments?</w:t>
      </w:r>
    </w:p>
    <w:p w14:paraId="132DF200" w14:textId="77777777" w:rsidR="00B60347" w:rsidRPr="00FD5EC9" w:rsidRDefault="00B60347" w:rsidP="00FD5EC9"/>
    <w:p w14:paraId="37171BEC" w14:textId="56BA5BF1" w:rsidR="00951519" w:rsidRPr="00651CFF" w:rsidRDefault="00951519" w:rsidP="00E42D27">
      <w:pPr>
        <w:spacing w:line="240" w:lineRule="auto"/>
        <w:rPr>
          <w:rFonts w:cs="Calibri"/>
          <w:i/>
        </w:rPr>
      </w:pPr>
      <w:r w:rsidRPr="00651CFF">
        <w:rPr>
          <w:rFonts w:cs="Calibri"/>
          <w:i/>
        </w:rPr>
        <w:t>Mandatory reading</w:t>
      </w:r>
    </w:p>
    <w:p w14:paraId="76EB141D" w14:textId="3A1E51CC" w:rsidR="00C70D35" w:rsidRPr="00266948" w:rsidRDefault="00C70D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24"/>
        </w:rPr>
      </w:pPr>
      <w:r w:rsidRPr="00266948">
        <w:rPr>
          <w:rFonts w:cstheme="minorHAnsi"/>
          <w:szCs w:val="24"/>
        </w:rPr>
        <w:t xml:space="preserve">P Craig and G De Burca </w:t>
      </w:r>
      <w:r w:rsidRPr="00266948">
        <w:rPr>
          <w:rFonts w:cstheme="minorHAnsi"/>
          <w:i/>
          <w:iCs/>
          <w:szCs w:val="24"/>
        </w:rPr>
        <w:t>European Union Law: Texts, Cases and Materials</w:t>
      </w:r>
      <w:r w:rsidRPr="00266948">
        <w:rPr>
          <w:rFonts w:cstheme="minorHAnsi"/>
          <w:szCs w:val="24"/>
        </w:rPr>
        <w:t xml:space="preserve"> (OUP, 2020), chapter 12 ’Human Rights in the EU</w:t>
      </w:r>
      <w:r w:rsidR="00EC10F2" w:rsidRPr="00266948">
        <w:rPr>
          <w:rFonts w:cstheme="minorHAnsi"/>
          <w:szCs w:val="24"/>
        </w:rPr>
        <w:t xml:space="preserve">, </w:t>
      </w:r>
      <w:r w:rsidR="00EC10F2" w:rsidRPr="00266948">
        <w:rPr>
          <w:rFonts w:cstheme="minorHAnsi"/>
          <w:szCs w:val="24"/>
          <w:highlight w:val="yellow"/>
        </w:rPr>
        <w:t>read p 441-454</w:t>
      </w:r>
    </w:p>
    <w:p w14:paraId="40D0E3D5" w14:textId="1EE456E5" w:rsidR="00B446D2" w:rsidRPr="00B446D2" w:rsidRDefault="00EA599D" w:rsidP="00B446D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Cs w:val="24"/>
        </w:rPr>
      </w:pPr>
      <w:r w:rsidRPr="00266948">
        <w:rPr>
          <w:szCs w:val="24"/>
        </w:rPr>
        <w:t xml:space="preserve">A Perez Torres, ‘Rights and Powers in the European Union: Towards a Charter that is Fully Applicable to the Member States?’ (2020) 22 </w:t>
      </w:r>
      <w:r w:rsidRPr="00266948">
        <w:rPr>
          <w:i/>
          <w:iCs/>
          <w:szCs w:val="24"/>
        </w:rPr>
        <w:t>Cambridge Yearbook of European Legal Studies</w:t>
      </w:r>
      <w:r w:rsidRPr="00266948">
        <w:rPr>
          <w:szCs w:val="24"/>
        </w:rPr>
        <w:t xml:space="preserve"> 279-300</w:t>
      </w:r>
      <w:r w:rsidR="00B446D2">
        <w:rPr>
          <w:szCs w:val="24"/>
        </w:rPr>
        <w:t xml:space="preserve"> [comments via PERUSAL]</w:t>
      </w:r>
    </w:p>
    <w:p w14:paraId="65C06ADA" w14:textId="124B899D" w:rsidR="00A17FCA" w:rsidRPr="00B446D2" w:rsidRDefault="00A17F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rPr>
          <w:rFonts w:cstheme="minorHAnsi"/>
          <w:bCs/>
          <w:szCs w:val="24"/>
          <w:lang w:val="fr-FR"/>
        </w:rPr>
      </w:pPr>
      <w:r w:rsidRPr="00B446D2">
        <w:rPr>
          <w:rFonts w:cstheme="minorHAnsi"/>
          <w:bCs/>
          <w:szCs w:val="24"/>
          <w:lang w:val="fr-FR"/>
        </w:rPr>
        <w:t>Article 7 TEU</w:t>
      </w:r>
      <w:r w:rsidR="00183C43" w:rsidRPr="00B446D2">
        <w:rPr>
          <w:rFonts w:cstheme="minorHAnsi"/>
          <w:bCs/>
          <w:szCs w:val="24"/>
          <w:lang w:val="fr-FR"/>
        </w:rPr>
        <w:t>, Article 51 EU CFR</w:t>
      </w:r>
    </w:p>
    <w:p w14:paraId="07D13E2E" w14:textId="7DCD2164" w:rsidR="00087320" w:rsidRPr="00266948" w:rsidRDefault="00087320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266948">
        <w:rPr>
          <w:rFonts w:cstheme="minorHAnsi"/>
          <w:szCs w:val="24"/>
        </w:rPr>
        <w:t xml:space="preserve">2020 New Strategy to strengthen the application of the Charter of Fundamental Rights in the EU COM/2020/711 final </w:t>
      </w:r>
      <w:hyperlink r:id="rId51" w:history="1">
        <w:r w:rsidRPr="00266948">
          <w:rPr>
            <w:rStyle w:val="Hyperlink"/>
            <w:rFonts w:cstheme="minorHAnsi"/>
            <w:szCs w:val="24"/>
          </w:rPr>
          <w:t>https://eur-lex.europa.eu/legal-content/EN/TXT/?uri=CELEX%3A52020DC0711&amp;qid=1608047356199</w:t>
        </w:r>
      </w:hyperlink>
      <w:r w:rsidR="002C59F1" w:rsidRPr="00266948">
        <w:rPr>
          <w:rFonts w:cstheme="minorHAnsi"/>
          <w:szCs w:val="24"/>
        </w:rPr>
        <w:t xml:space="preserve">, </w:t>
      </w:r>
      <w:r w:rsidR="002C59F1" w:rsidRPr="00266948">
        <w:rPr>
          <w:rFonts w:cstheme="minorHAnsi"/>
          <w:szCs w:val="24"/>
          <w:highlight w:val="yellow"/>
        </w:rPr>
        <w:t>part 1 and 2 [</w:t>
      </w:r>
    </w:p>
    <w:p w14:paraId="07B8579B" w14:textId="6E1AB49B" w:rsidR="007B16D6" w:rsidRPr="007B16D6" w:rsidRDefault="00A17F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rPr>
          <w:rFonts w:cstheme="minorHAnsi"/>
          <w:b/>
          <w:szCs w:val="24"/>
        </w:rPr>
      </w:pPr>
      <w:r w:rsidRPr="00266948">
        <w:rPr>
          <w:rFonts w:cstheme="minorHAnsi"/>
          <w:bCs/>
          <w:szCs w:val="24"/>
        </w:rPr>
        <w:t xml:space="preserve">Commission’s </w:t>
      </w:r>
      <w:r w:rsidR="00F05083" w:rsidRPr="00266948">
        <w:rPr>
          <w:rFonts w:cstheme="minorHAnsi"/>
          <w:szCs w:val="24"/>
        </w:rPr>
        <w:t xml:space="preserve">Annual Report </w:t>
      </w:r>
      <w:r w:rsidRPr="00266948">
        <w:rPr>
          <w:rFonts w:cstheme="minorHAnsi"/>
          <w:bCs/>
          <w:szCs w:val="24"/>
        </w:rPr>
        <w:t>on the application of the EU Charter for the protection of fundamental rights (20</w:t>
      </w:r>
      <w:r w:rsidR="006E6D6A" w:rsidRPr="00266948">
        <w:rPr>
          <w:rFonts w:cstheme="minorHAnsi"/>
          <w:bCs/>
          <w:szCs w:val="24"/>
        </w:rPr>
        <w:t>2</w:t>
      </w:r>
      <w:r w:rsidR="003619E1">
        <w:rPr>
          <w:rFonts w:cstheme="minorHAnsi"/>
          <w:bCs/>
          <w:szCs w:val="24"/>
        </w:rPr>
        <w:t>2</w:t>
      </w:r>
      <w:r w:rsidRPr="00266948">
        <w:rPr>
          <w:rFonts w:cstheme="minorHAnsi"/>
          <w:bCs/>
          <w:szCs w:val="24"/>
        </w:rPr>
        <w:t xml:space="preserve">), </w:t>
      </w:r>
      <w:hyperlink r:id="rId52" w:history="1">
        <w:r w:rsidR="007B16D6" w:rsidRPr="00AC1BB1">
          <w:rPr>
            <w:rStyle w:val="Hyperlink"/>
            <w:rFonts w:cstheme="minorHAnsi"/>
            <w:bCs/>
            <w:szCs w:val="24"/>
          </w:rPr>
          <w:t>https://commission.europa.eu/system/files/2022-12/1_1_201131_2022_charter_report_en.pdf</w:t>
        </w:r>
      </w:hyperlink>
      <w:r w:rsidR="007B16D6">
        <w:rPr>
          <w:rFonts w:cstheme="minorHAnsi"/>
          <w:bCs/>
          <w:szCs w:val="24"/>
        </w:rPr>
        <w:t xml:space="preserve"> </w:t>
      </w:r>
      <w:r w:rsidR="00377E4A">
        <w:rPr>
          <w:rFonts w:cstheme="minorHAnsi"/>
          <w:bCs/>
          <w:szCs w:val="24"/>
        </w:rPr>
        <w:t xml:space="preserve">[read </w:t>
      </w:r>
      <w:r w:rsidR="004E4EEE" w:rsidRPr="00370379">
        <w:rPr>
          <w:rFonts w:cstheme="minorHAnsi"/>
          <w:bCs/>
          <w:szCs w:val="24"/>
          <w:highlight w:val="yellow"/>
        </w:rPr>
        <w:t>Introduction]</w:t>
      </w:r>
    </w:p>
    <w:p w14:paraId="488FC118" w14:textId="4DB16CFB" w:rsidR="000206B2" w:rsidRPr="00266948" w:rsidRDefault="007B16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>L.D</w:t>
      </w:r>
      <w:r w:rsidR="009E4AF9" w:rsidRPr="00266948">
        <w:rPr>
          <w:rFonts w:cstheme="minorHAnsi"/>
          <w:szCs w:val="24"/>
        </w:rPr>
        <w:t xml:space="preserve"> Spieker </w:t>
      </w:r>
      <w:r>
        <w:rPr>
          <w:rFonts w:cstheme="minorHAnsi"/>
          <w:szCs w:val="24"/>
        </w:rPr>
        <w:t>(</w:t>
      </w:r>
      <w:r w:rsidR="009E4AF9" w:rsidRPr="00266948">
        <w:rPr>
          <w:rFonts w:cstheme="minorHAnsi"/>
          <w:szCs w:val="24"/>
        </w:rPr>
        <w:t>Op-Ed</w:t>
      </w:r>
      <w:r>
        <w:rPr>
          <w:rFonts w:cstheme="minorHAnsi"/>
          <w:szCs w:val="24"/>
        </w:rPr>
        <w:t>)</w:t>
      </w:r>
      <w:r w:rsidR="009E4AF9" w:rsidRPr="00266948">
        <w:rPr>
          <w:rFonts w:cstheme="minorHAnsi"/>
          <w:szCs w:val="24"/>
        </w:rPr>
        <w:t xml:space="preserve">: ’Berlaymont is back: The Commission invokes Article 2 TEU as self-standing plea in infringement proceedings over Hungarian LGBTIQ rights violations’ (22 Feb 2023) </w:t>
      </w:r>
      <w:hyperlink r:id="rId53" w:history="1">
        <w:r w:rsidR="009E4AF9" w:rsidRPr="00266948">
          <w:rPr>
            <w:rStyle w:val="Hyperlink"/>
            <w:rFonts w:cstheme="minorHAnsi"/>
            <w:szCs w:val="24"/>
          </w:rPr>
          <w:t>https://eulawlive.com/op-ed-berlaymont-is-back-the-commission-invokes-article-2-teu-as-self-standing-plea-in-infringement-proceedings-over-hungarian-lgbtiq-rights-violations-by-luke-dimitrios-spieker/#</w:t>
        </w:r>
      </w:hyperlink>
      <w:r w:rsidR="000206B2" w:rsidRPr="00266948">
        <w:rPr>
          <w:rFonts w:cstheme="minorHAnsi"/>
          <w:szCs w:val="24"/>
        </w:rPr>
        <w:t xml:space="preserve"> </w:t>
      </w:r>
    </w:p>
    <w:p w14:paraId="401229AE" w14:textId="77777777" w:rsidR="009C5334" w:rsidRPr="00651CFF" w:rsidRDefault="009C5334" w:rsidP="009C5334">
      <w:pPr>
        <w:autoSpaceDE w:val="0"/>
        <w:autoSpaceDN w:val="0"/>
        <w:adjustRightInd w:val="0"/>
        <w:spacing w:before="120"/>
        <w:rPr>
          <w:rFonts w:cstheme="minorHAnsi"/>
        </w:rPr>
      </w:pPr>
      <w:r w:rsidRPr="0047112B">
        <w:rPr>
          <w:rStyle w:val="Heading3Char"/>
        </w:rPr>
        <w:t>Core cases (read relevant extracts, as instructed</w:t>
      </w:r>
      <w:r w:rsidRPr="00651CFF">
        <w:rPr>
          <w:rFonts w:cstheme="minorHAnsi"/>
        </w:rPr>
        <w:t>)</w:t>
      </w:r>
    </w:p>
    <w:p w14:paraId="13D5DF9D" w14:textId="460367AC" w:rsidR="009C5334" w:rsidRPr="00651CFF" w:rsidRDefault="009C5334">
      <w:pPr>
        <w:pStyle w:val="ListParagraph"/>
        <w:numPr>
          <w:ilvl w:val="0"/>
          <w:numId w:val="6"/>
        </w:numPr>
        <w:spacing w:line="240" w:lineRule="auto"/>
        <w:rPr>
          <w:rStyle w:val="acopre"/>
          <w:rFonts w:cs="Calibri"/>
          <w:lang w:val="fr-FR"/>
        </w:rPr>
      </w:pPr>
      <w:r w:rsidRPr="00651CFF">
        <w:rPr>
          <w:rStyle w:val="acopre"/>
          <w:rFonts w:cs="Calibri"/>
          <w:lang w:val="fr-FR"/>
        </w:rPr>
        <w:t xml:space="preserve">C-617/10 </w:t>
      </w:r>
      <w:r w:rsidRPr="00651CFF">
        <w:rPr>
          <w:rStyle w:val="acopre"/>
          <w:rFonts w:cs="Calibri"/>
          <w:i/>
          <w:lang w:val="fr-FR"/>
        </w:rPr>
        <w:t xml:space="preserve">Åkerberg </w:t>
      </w:r>
      <w:r w:rsidRPr="00651CFF">
        <w:rPr>
          <w:rStyle w:val="Emphasis"/>
          <w:rFonts w:cs="Calibri"/>
          <w:lang w:val="fr-FR"/>
        </w:rPr>
        <w:t>Fransson</w:t>
      </w:r>
      <w:r w:rsidRPr="00651CFF">
        <w:rPr>
          <w:rStyle w:val="acopre"/>
          <w:rFonts w:cs="Calibri"/>
          <w:lang w:val="fr-FR"/>
        </w:rPr>
        <w:t xml:space="preserve"> EU:C:2013:105</w:t>
      </w:r>
    </w:p>
    <w:p w14:paraId="0EF056FD" w14:textId="3024EAFC" w:rsidR="009C5334" w:rsidRPr="00651CFF" w:rsidRDefault="009C5334">
      <w:pPr>
        <w:pStyle w:val="ListParagraph"/>
        <w:numPr>
          <w:ilvl w:val="0"/>
          <w:numId w:val="6"/>
        </w:numPr>
        <w:spacing w:line="240" w:lineRule="auto"/>
        <w:rPr>
          <w:rStyle w:val="Hyperlink"/>
          <w:rFonts w:cs="Calibri"/>
          <w:color w:val="auto"/>
          <w:u w:val="none"/>
          <w:lang w:val="fr-FR"/>
        </w:rPr>
      </w:pPr>
      <w:r w:rsidRPr="00651CFF">
        <w:rPr>
          <w:rStyle w:val="acopre"/>
          <w:rFonts w:cs="Calibri"/>
          <w:lang w:val="fr-FR"/>
        </w:rPr>
        <w:t xml:space="preserve">C-333/13 </w:t>
      </w:r>
      <w:r w:rsidRPr="00651CFF">
        <w:rPr>
          <w:rStyle w:val="acopre"/>
          <w:rFonts w:cs="Calibri"/>
          <w:i/>
          <w:lang w:val="fr-FR"/>
        </w:rPr>
        <w:t>Dano</w:t>
      </w:r>
      <w:r w:rsidRPr="00651CFF">
        <w:rPr>
          <w:rStyle w:val="acopre"/>
          <w:rFonts w:cs="Calibri"/>
          <w:lang w:val="fr-FR"/>
        </w:rPr>
        <w:t xml:space="preserve"> </w:t>
      </w:r>
      <w:r w:rsidR="00900292" w:rsidRPr="00900292">
        <w:rPr>
          <w:rStyle w:val="Emphasis"/>
          <w:rFonts w:cs="Calibri"/>
          <w:i w:val="0"/>
          <w:iCs w:val="0"/>
          <w:lang w:val="fr-FR"/>
        </w:rPr>
        <w:t>EU</w:t>
      </w:r>
      <w:r w:rsidRPr="00900292">
        <w:rPr>
          <w:rStyle w:val="acopre"/>
          <w:rFonts w:cs="Calibri"/>
          <w:i/>
          <w:iCs/>
          <w:lang w:val="fr-FR"/>
        </w:rPr>
        <w:t>:</w:t>
      </w:r>
      <w:r w:rsidRPr="00900292">
        <w:rPr>
          <w:rStyle w:val="Emphasis"/>
          <w:rFonts w:cs="Calibri"/>
          <w:i w:val="0"/>
          <w:iCs w:val="0"/>
          <w:lang w:val="fr-FR"/>
        </w:rPr>
        <w:t>C</w:t>
      </w:r>
      <w:r w:rsidRPr="00900292">
        <w:rPr>
          <w:rStyle w:val="acopre"/>
          <w:rFonts w:cs="Calibri"/>
          <w:i/>
          <w:iCs/>
          <w:lang w:val="fr-FR"/>
        </w:rPr>
        <w:t>:</w:t>
      </w:r>
      <w:r w:rsidRPr="00651CFF">
        <w:rPr>
          <w:rStyle w:val="acopre"/>
          <w:rFonts w:cs="Calibri"/>
          <w:lang w:val="fr-FR"/>
        </w:rPr>
        <w:t>2014:2358</w:t>
      </w:r>
    </w:p>
    <w:p w14:paraId="29D3BCAE" w14:textId="77777777" w:rsidR="00B76A61" w:rsidRPr="00B35E49" w:rsidRDefault="00B76A6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>
        <w:rPr>
          <w:i/>
          <w:iCs/>
        </w:rPr>
        <w:t xml:space="preserve">C-206/13 Siragusa </w:t>
      </w:r>
      <w:r>
        <w:t>EU:C:2014:126</w:t>
      </w:r>
    </w:p>
    <w:p w14:paraId="2DD5A90E" w14:textId="3F5A2D91" w:rsidR="0057777C" w:rsidRDefault="0057777C">
      <w:pPr>
        <w:pStyle w:val="ListParagraph"/>
        <w:numPr>
          <w:ilvl w:val="0"/>
          <w:numId w:val="6"/>
        </w:numPr>
        <w:spacing w:line="240" w:lineRule="auto"/>
        <w:rPr>
          <w:rStyle w:val="outputecli"/>
          <w:rFonts w:cs="Calibri"/>
          <w:lang w:val="fr-FR"/>
        </w:rPr>
      </w:pPr>
      <w:r w:rsidRPr="00651CFF">
        <w:rPr>
          <w:rStyle w:val="Hyperlink"/>
          <w:rFonts w:cs="Calibri"/>
          <w:color w:val="auto"/>
          <w:u w:val="none"/>
          <w:lang w:val="fr-FR"/>
        </w:rPr>
        <w:t xml:space="preserve">C-64/16 </w:t>
      </w:r>
      <w:r w:rsidRPr="00651CFF">
        <w:rPr>
          <w:rFonts w:cs="Calibri"/>
          <w:bCs/>
          <w:i/>
          <w:lang w:val="fr-FR"/>
        </w:rPr>
        <w:t>Associação Sindical dos Juízes Portugueses</w:t>
      </w:r>
      <w:r w:rsidRPr="00651CFF">
        <w:rPr>
          <w:rStyle w:val="outputecli"/>
          <w:rFonts w:cs="Calibri"/>
          <w:lang w:val="fr-FR"/>
        </w:rPr>
        <w:t xml:space="preserve"> ECLI:EU:C:2018:117</w:t>
      </w:r>
    </w:p>
    <w:p w14:paraId="0192F65C" w14:textId="3751B2CD" w:rsidR="000B6EC8" w:rsidRPr="00651CFF" w:rsidRDefault="000B6EC8">
      <w:pPr>
        <w:pStyle w:val="ListParagraph"/>
        <w:numPr>
          <w:ilvl w:val="0"/>
          <w:numId w:val="6"/>
        </w:numPr>
        <w:spacing w:line="240" w:lineRule="auto"/>
        <w:rPr>
          <w:rFonts w:cs="Calibri"/>
          <w:lang w:val="fr-FR"/>
        </w:rPr>
      </w:pPr>
      <w:r>
        <w:rPr>
          <w:rStyle w:val="outputecli"/>
          <w:rFonts w:cs="Calibri"/>
          <w:lang w:val="fr-FR"/>
        </w:rPr>
        <w:t>C-</w:t>
      </w:r>
      <w:r w:rsidR="00221557">
        <w:rPr>
          <w:rStyle w:val="outputecli"/>
          <w:rFonts w:cs="Calibri"/>
          <w:lang w:val="fr-FR"/>
        </w:rPr>
        <w:t xml:space="preserve">400/10 PPU </w:t>
      </w:r>
      <w:r w:rsidR="00221557" w:rsidRPr="00D47314">
        <w:rPr>
          <w:lang w:val="fr-FR"/>
        </w:rPr>
        <w:t xml:space="preserve">J. McB. v L. E. </w:t>
      </w:r>
      <w:r w:rsidR="00221557" w:rsidRPr="00D47314">
        <w:rPr>
          <w:rStyle w:val="outputecliaff"/>
          <w:lang w:val="fr-FR"/>
        </w:rPr>
        <w:t>EU:C:2010:582</w:t>
      </w:r>
    </w:p>
    <w:p w14:paraId="09404C1A" w14:textId="77777777" w:rsidR="009C5334" w:rsidRPr="00651CFF" w:rsidRDefault="009C5334" w:rsidP="0047112B">
      <w:pPr>
        <w:pStyle w:val="Heading3"/>
      </w:pPr>
      <w:r w:rsidRPr="00651CFF">
        <w:lastRenderedPageBreak/>
        <w:t>Cases for presentation</w:t>
      </w:r>
    </w:p>
    <w:p w14:paraId="2EDE9ACB" w14:textId="5A819045" w:rsidR="00E86A9F" w:rsidRDefault="00E86A9F">
      <w:pPr>
        <w:pStyle w:val="ListParagraph"/>
        <w:numPr>
          <w:ilvl w:val="0"/>
          <w:numId w:val="6"/>
        </w:numPr>
        <w:spacing w:line="240" w:lineRule="auto"/>
        <w:rPr>
          <w:rStyle w:val="outputecli"/>
          <w:rFonts w:cs="Calibri"/>
          <w:lang w:val="fr-FR"/>
        </w:rPr>
      </w:pPr>
      <w:r w:rsidRPr="00651CFF">
        <w:rPr>
          <w:rFonts w:cs="Calibri"/>
          <w:lang w:val="fr-FR"/>
        </w:rPr>
        <w:t>C-216-18 PPU</w:t>
      </w:r>
      <w:r w:rsidRPr="00651CFF">
        <w:rPr>
          <w:rFonts w:cs="Calibri"/>
          <w:i/>
          <w:iCs/>
          <w:lang w:val="fr-FR"/>
        </w:rPr>
        <w:t xml:space="preserve"> LM</w:t>
      </w:r>
      <w:r w:rsidRPr="00651CFF">
        <w:rPr>
          <w:rFonts w:cs="Calibri"/>
          <w:lang w:val="fr-FR"/>
        </w:rPr>
        <w:t xml:space="preserve"> </w:t>
      </w:r>
      <w:r w:rsidRPr="00651CFF">
        <w:rPr>
          <w:rStyle w:val="outputecli"/>
          <w:rFonts w:cs="Calibri"/>
          <w:lang w:val="fr-FR"/>
        </w:rPr>
        <w:t xml:space="preserve">ECLI:EU:C:2018:586 </w:t>
      </w:r>
    </w:p>
    <w:p w14:paraId="37889FB4" w14:textId="6ECB50A7" w:rsidR="00436A0E" w:rsidRPr="00651CFF" w:rsidRDefault="00436A0E">
      <w:pPr>
        <w:pStyle w:val="ListParagraph"/>
        <w:numPr>
          <w:ilvl w:val="0"/>
          <w:numId w:val="6"/>
        </w:numPr>
        <w:spacing w:line="240" w:lineRule="auto"/>
        <w:rPr>
          <w:rFonts w:cs="Calibri"/>
          <w:lang w:val="fr-FR"/>
        </w:rPr>
      </w:pPr>
      <w:r>
        <w:rPr>
          <w:rStyle w:val="outputecli"/>
          <w:rFonts w:cs="Calibri"/>
          <w:lang w:val="fr-FR"/>
        </w:rPr>
        <w:t xml:space="preserve">C-198/13 </w:t>
      </w:r>
      <w:r w:rsidRPr="00436A0E">
        <w:rPr>
          <w:rStyle w:val="outputecli"/>
          <w:rFonts w:cs="Calibri"/>
          <w:i/>
          <w:iCs/>
          <w:lang w:val="fr-FR"/>
        </w:rPr>
        <w:t xml:space="preserve">Hernandez </w:t>
      </w:r>
      <w:r w:rsidRPr="00436A0E">
        <w:rPr>
          <w:rStyle w:val="outputecliaff"/>
          <w:i/>
          <w:iCs/>
        </w:rPr>
        <w:t>U</w:t>
      </w:r>
      <w:r>
        <w:rPr>
          <w:rStyle w:val="outputecliaff"/>
        </w:rPr>
        <w:t>:C:2014:2055</w:t>
      </w:r>
    </w:p>
    <w:p w14:paraId="09AF135B" w14:textId="1DC42180" w:rsidR="0057777C" w:rsidRPr="00D47314" w:rsidRDefault="0057777C">
      <w:pPr>
        <w:pStyle w:val="ListParagraph"/>
        <w:numPr>
          <w:ilvl w:val="0"/>
          <w:numId w:val="6"/>
        </w:numPr>
        <w:spacing w:line="240" w:lineRule="auto"/>
        <w:rPr>
          <w:rFonts w:cs="Calibri"/>
        </w:rPr>
      </w:pPr>
      <w:r w:rsidRPr="00D47314">
        <w:rPr>
          <w:rStyle w:val="Hyperlink"/>
          <w:rFonts w:cs="Calibri"/>
          <w:color w:val="auto"/>
          <w:u w:val="none"/>
        </w:rPr>
        <w:t>C</w:t>
      </w:r>
      <w:r w:rsidR="001A6981" w:rsidRPr="00D47314">
        <w:rPr>
          <w:rFonts w:cs="Calibri"/>
        </w:rPr>
        <w:t>C- 404/15 and C-</w:t>
      </w:r>
      <w:r w:rsidR="0082207B" w:rsidRPr="00D47314">
        <w:rPr>
          <w:rFonts w:cs="Calibri"/>
        </w:rPr>
        <w:t xml:space="preserve">659/15 </w:t>
      </w:r>
      <w:r w:rsidR="001A6981">
        <w:rPr>
          <w:rStyle w:val="Emphasis"/>
        </w:rPr>
        <w:t>Aranyosi and Căldăraru</w:t>
      </w:r>
      <w:r w:rsidR="0082207B">
        <w:rPr>
          <w:rStyle w:val="Emphasis"/>
        </w:rPr>
        <w:t xml:space="preserve"> </w:t>
      </w:r>
      <w:r w:rsidR="0082207B" w:rsidRPr="00D47314">
        <w:rPr>
          <w:rFonts w:cs="Calibri"/>
        </w:rPr>
        <w:t>EU:C:2016:198;</w:t>
      </w:r>
      <w:r w:rsidR="001A6981">
        <w:t xml:space="preserve"> </w:t>
      </w:r>
      <w:r w:rsidR="0082207B" w:rsidRPr="0082207B">
        <w:t>C-216/18 PPU</w:t>
      </w:r>
      <w:r w:rsidR="0082207B">
        <w:t>,</w:t>
      </w:r>
      <w:r w:rsidR="001A6981">
        <w:t xml:space="preserve">and </w:t>
      </w:r>
      <w:r w:rsidR="001A6981">
        <w:rPr>
          <w:rStyle w:val="Emphasis"/>
        </w:rPr>
        <w:t>Minister for Justice and Equality v LM</w:t>
      </w:r>
      <w:r w:rsidR="004E01F4">
        <w:t xml:space="preserve"> EU:C:2018:586</w:t>
      </w:r>
    </w:p>
    <w:p w14:paraId="7470E137" w14:textId="68A7CA06" w:rsidR="004E01F4" w:rsidRPr="00580F48" w:rsidRDefault="004E01F4">
      <w:pPr>
        <w:pStyle w:val="ListParagraph"/>
        <w:numPr>
          <w:ilvl w:val="0"/>
          <w:numId w:val="6"/>
        </w:numPr>
        <w:spacing w:line="240" w:lineRule="auto"/>
        <w:rPr>
          <w:rStyle w:val="outputecliaff"/>
          <w:rFonts w:cstheme="minorHAnsi"/>
          <w:color w:val="000000" w:themeColor="text1"/>
        </w:rPr>
      </w:pPr>
      <w:r w:rsidRPr="00D60DD4">
        <w:t>C-562/21 PPU and C-563/21 PPU</w:t>
      </w:r>
      <w:r>
        <w:rPr>
          <w:rStyle w:val="Hyperlink"/>
        </w:rPr>
        <w:t xml:space="preserve"> </w:t>
      </w:r>
      <w:r>
        <w:rPr>
          <w:rStyle w:val="Emphasis"/>
        </w:rPr>
        <w:t>X and Y v Openbaar Ministerie</w:t>
      </w:r>
      <w:r>
        <w:t xml:space="preserve"> </w:t>
      </w:r>
      <w:r w:rsidR="00C63DB4">
        <w:rPr>
          <w:rStyle w:val="outputecliaff"/>
        </w:rPr>
        <w:t>EU:C:2021:1019</w:t>
      </w:r>
    </w:p>
    <w:p w14:paraId="07FE2F82" w14:textId="78ECEEAC" w:rsidR="00580F48" w:rsidRPr="00B9558E" w:rsidRDefault="00580F48">
      <w:pPr>
        <w:pStyle w:val="ListParagraph"/>
        <w:numPr>
          <w:ilvl w:val="0"/>
          <w:numId w:val="6"/>
        </w:numPr>
        <w:spacing w:line="240" w:lineRule="auto"/>
        <w:rPr>
          <w:rStyle w:val="outputecliaff"/>
          <w:rFonts w:cstheme="minorHAnsi"/>
          <w:color w:val="000000" w:themeColor="text1"/>
        </w:rPr>
      </w:pPr>
      <w:r>
        <w:rPr>
          <w:i/>
          <w:iCs/>
        </w:rPr>
        <w:t>C-297/17 Ibrahim</w:t>
      </w:r>
      <w:r w:rsidR="005367FB">
        <w:rPr>
          <w:i/>
          <w:iCs/>
        </w:rPr>
        <w:t xml:space="preserve"> </w:t>
      </w:r>
      <w:r w:rsidR="005367FB">
        <w:rPr>
          <w:rStyle w:val="outputecliaff"/>
        </w:rPr>
        <w:t>EU:C:2019:219</w:t>
      </w:r>
    </w:p>
    <w:p w14:paraId="58CBF778" w14:textId="7C1A354C" w:rsidR="009C5334" w:rsidRPr="00651CFF" w:rsidRDefault="009C5334">
      <w:pPr>
        <w:pStyle w:val="ListParagraph"/>
        <w:numPr>
          <w:ilvl w:val="0"/>
          <w:numId w:val="6"/>
        </w:numPr>
        <w:spacing w:line="240" w:lineRule="auto"/>
        <w:rPr>
          <w:rStyle w:val="acopre"/>
          <w:rFonts w:cstheme="minorHAnsi"/>
          <w:color w:val="000000" w:themeColor="text1"/>
        </w:rPr>
      </w:pPr>
      <w:r w:rsidRPr="00651CFF">
        <w:rPr>
          <w:rFonts w:cstheme="minorHAnsi"/>
          <w:bCs/>
          <w:color w:val="000000" w:themeColor="text1"/>
        </w:rPr>
        <w:t xml:space="preserve">C-78/18 </w:t>
      </w:r>
      <w:r w:rsidRPr="00651CFF">
        <w:rPr>
          <w:rFonts w:cstheme="minorHAnsi"/>
          <w:bCs/>
          <w:i/>
          <w:color w:val="000000" w:themeColor="text1"/>
        </w:rPr>
        <w:t>Commission v Hungary</w:t>
      </w:r>
      <w:r w:rsidRPr="00651CFF">
        <w:rPr>
          <w:rFonts w:cstheme="minorHAnsi"/>
          <w:bCs/>
          <w:color w:val="000000" w:themeColor="text1"/>
        </w:rPr>
        <w:t xml:space="preserve"> [transparency of association] </w:t>
      </w:r>
      <w:r w:rsidRPr="00651CFF">
        <w:rPr>
          <w:rStyle w:val="Emphasis"/>
          <w:rFonts w:cstheme="minorHAnsi"/>
          <w:color w:val="000000" w:themeColor="text1"/>
        </w:rPr>
        <w:t>ECLI</w:t>
      </w:r>
      <w:r w:rsidRPr="00651CFF">
        <w:rPr>
          <w:rStyle w:val="acopre"/>
          <w:rFonts w:cstheme="minorHAnsi"/>
          <w:color w:val="000000" w:themeColor="text1"/>
        </w:rPr>
        <w:t>:EU:</w:t>
      </w:r>
      <w:r w:rsidRPr="00651CFF">
        <w:rPr>
          <w:rStyle w:val="Emphasis"/>
          <w:rFonts w:cstheme="minorHAnsi"/>
          <w:color w:val="000000" w:themeColor="text1"/>
        </w:rPr>
        <w:t>C</w:t>
      </w:r>
      <w:r w:rsidRPr="00651CFF">
        <w:rPr>
          <w:rStyle w:val="acopre"/>
          <w:rFonts w:cstheme="minorHAnsi"/>
          <w:color w:val="000000" w:themeColor="text1"/>
        </w:rPr>
        <w:t>:2020:476</w:t>
      </w:r>
    </w:p>
    <w:p w14:paraId="7B1B6B03" w14:textId="77777777" w:rsidR="002A3DA5" w:rsidRDefault="00103732">
      <w:pPr>
        <w:pStyle w:val="ListParagraph"/>
        <w:numPr>
          <w:ilvl w:val="0"/>
          <w:numId w:val="6"/>
        </w:numPr>
        <w:spacing w:line="240" w:lineRule="auto"/>
        <w:rPr>
          <w:rStyle w:val="acopre"/>
          <w:rFonts w:cstheme="minorHAnsi"/>
          <w:color w:val="000000" w:themeColor="text1"/>
          <w:szCs w:val="24"/>
        </w:rPr>
      </w:pPr>
      <w:r w:rsidRPr="002A3DA5">
        <w:rPr>
          <w:rFonts w:cstheme="minorHAnsi"/>
          <w:bCs/>
          <w:color w:val="000000" w:themeColor="text1"/>
          <w:szCs w:val="24"/>
        </w:rPr>
        <w:t>C</w:t>
      </w:r>
      <w:r w:rsidRPr="002A3DA5">
        <w:rPr>
          <w:rFonts w:cstheme="minorHAnsi"/>
          <w:color w:val="000000" w:themeColor="text1"/>
          <w:szCs w:val="24"/>
        </w:rPr>
        <w:t xml:space="preserve">-66/18 </w:t>
      </w:r>
      <w:r w:rsidRPr="002A3DA5">
        <w:rPr>
          <w:rFonts w:cstheme="minorHAnsi"/>
          <w:i/>
          <w:color w:val="000000" w:themeColor="text1"/>
          <w:szCs w:val="24"/>
        </w:rPr>
        <w:t>Commission v Hungary</w:t>
      </w:r>
      <w:r w:rsidRPr="002A3DA5">
        <w:rPr>
          <w:rFonts w:cstheme="minorHAnsi"/>
          <w:color w:val="000000" w:themeColor="text1"/>
          <w:szCs w:val="24"/>
        </w:rPr>
        <w:t xml:space="preserve"> [higher education law] </w:t>
      </w:r>
      <w:r w:rsidRPr="002A3DA5">
        <w:rPr>
          <w:rStyle w:val="Emphasis"/>
          <w:rFonts w:cstheme="minorHAnsi"/>
          <w:color w:val="000000" w:themeColor="text1"/>
          <w:szCs w:val="24"/>
        </w:rPr>
        <w:t>ECLI</w:t>
      </w:r>
      <w:r w:rsidRPr="002A3DA5">
        <w:rPr>
          <w:rStyle w:val="acopre"/>
          <w:rFonts w:cstheme="minorHAnsi"/>
          <w:color w:val="000000" w:themeColor="text1"/>
          <w:szCs w:val="24"/>
        </w:rPr>
        <w:t>:EU:C:2020:792.</w:t>
      </w:r>
    </w:p>
    <w:p w14:paraId="51556228" w14:textId="2A5E2490" w:rsidR="00C2477C" w:rsidRPr="002A3DA5" w:rsidRDefault="00BB5D0F">
      <w:pPr>
        <w:pStyle w:val="ListParagraph"/>
        <w:numPr>
          <w:ilvl w:val="0"/>
          <w:numId w:val="6"/>
        </w:numPr>
        <w:spacing w:line="240" w:lineRule="auto"/>
        <w:rPr>
          <w:rStyle w:val="acopre"/>
          <w:rFonts w:cstheme="minorHAnsi"/>
          <w:color w:val="000000" w:themeColor="text1"/>
          <w:szCs w:val="24"/>
        </w:rPr>
      </w:pPr>
      <w:r w:rsidRPr="002A3DA5">
        <w:rPr>
          <w:szCs w:val="24"/>
          <w:lang w:val="de-AT"/>
        </w:rPr>
        <w:t>C-237/21,</w:t>
      </w:r>
      <w:r w:rsidR="002A3DA5" w:rsidRPr="002A3DA5">
        <w:rPr>
          <w:szCs w:val="24"/>
          <w:lang w:val="de-AT"/>
        </w:rPr>
        <w:t xml:space="preserve"> </w:t>
      </w:r>
      <w:r w:rsidR="002A3DA5" w:rsidRPr="002A3DA5">
        <w:rPr>
          <w:i/>
          <w:iCs/>
          <w:szCs w:val="24"/>
          <w:lang w:val="de-AT"/>
        </w:rPr>
        <w:t>Generalstaatsanwaltschaft München</w:t>
      </w:r>
      <w:r w:rsidR="002A3DA5" w:rsidRPr="002A3DA5">
        <w:rPr>
          <w:szCs w:val="24"/>
          <w:lang w:val="de-AT"/>
        </w:rPr>
        <w:t xml:space="preserve"> v </w:t>
      </w:r>
      <w:r w:rsidR="00176703" w:rsidRPr="002A3DA5">
        <w:rPr>
          <w:rStyle w:val="Emphasis"/>
          <w:szCs w:val="24"/>
          <w:lang w:val="de-AT"/>
        </w:rPr>
        <w:t xml:space="preserve">S.M. </w:t>
      </w:r>
      <w:r w:rsidR="009F7EE8" w:rsidRPr="002A3DA5">
        <w:rPr>
          <w:rStyle w:val="Emphasis"/>
          <w:szCs w:val="24"/>
          <w:lang w:val="de-AT"/>
        </w:rPr>
        <w:t xml:space="preserve"> </w:t>
      </w:r>
      <w:r w:rsidR="009F7EE8" w:rsidRPr="002A3DA5">
        <w:rPr>
          <w:szCs w:val="24"/>
        </w:rPr>
        <w:t>ECLI:EU:C:2022:1017</w:t>
      </w:r>
    </w:p>
    <w:p w14:paraId="18646D14" w14:textId="4D64B79F" w:rsidR="003E6F43" w:rsidRPr="00A85C8D" w:rsidRDefault="0083490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AEAAAA" w:themeColor="background2" w:themeShade="BF"/>
          <w:highlight w:val="yellow"/>
        </w:rPr>
      </w:pPr>
      <w:r w:rsidRPr="00A85C8D">
        <w:rPr>
          <w:color w:val="AEAAAA" w:themeColor="background2" w:themeShade="BF"/>
          <w:highlight w:val="yellow"/>
        </w:rPr>
        <w:t xml:space="preserve">C-769/22 </w:t>
      </w:r>
      <w:r w:rsidRPr="00A85C8D">
        <w:rPr>
          <w:i/>
          <w:iCs/>
          <w:color w:val="AEAAAA" w:themeColor="background2" w:themeShade="BF"/>
          <w:highlight w:val="yellow"/>
        </w:rPr>
        <w:t>Commission v Hungary</w:t>
      </w:r>
      <w:r w:rsidRPr="00A85C8D">
        <w:rPr>
          <w:color w:val="AEAAAA" w:themeColor="background2" w:themeShade="BF"/>
          <w:highlight w:val="yellow"/>
        </w:rPr>
        <w:t xml:space="preserve"> [LGBTQ+ law]  not decided yet </w:t>
      </w:r>
      <w:r w:rsidR="009E4AF9" w:rsidRPr="00A85C8D">
        <w:rPr>
          <w:color w:val="AEAAAA" w:themeColor="background2" w:themeShade="BF"/>
          <w:highlight w:val="yellow"/>
        </w:rPr>
        <w:t>[use as a practical case</w:t>
      </w:r>
      <w:r w:rsidR="00A85C8D">
        <w:rPr>
          <w:color w:val="AEAAAA" w:themeColor="background2" w:themeShade="BF"/>
          <w:highlight w:val="yellow"/>
        </w:rPr>
        <w:t xml:space="preserve"> for simulation</w:t>
      </w:r>
      <w:r w:rsidR="009E4AF9" w:rsidRPr="00A85C8D">
        <w:rPr>
          <w:color w:val="AEAAAA" w:themeColor="background2" w:themeShade="BF"/>
          <w:highlight w:val="yellow"/>
        </w:rPr>
        <w:t>]</w:t>
      </w:r>
    </w:p>
    <w:p w14:paraId="1A3624F7" w14:textId="2E608A67" w:rsidR="00016FFA" w:rsidRPr="00A85C8D" w:rsidRDefault="00016FF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AEAAAA" w:themeColor="background2" w:themeShade="BF"/>
          <w:szCs w:val="24"/>
        </w:rPr>
      </w:pPr>
      <w:r w:rsidRPr="00A85C8D">
        <w:rPr>
          <w:color w:val="AEAAAA" w:themeColor="background2" w:themeShade="BF"/>
          <w:szCs w:val="24"/>
        </w:rPr>
        <w:t xml:space="preserve">Joined Cases C-323/21, C-324/21 and C-325/21 </w:t>
      </w:r>
      <w:r w:rsidRPr="00A85C8D">
        <w:rPr>
          <w:rStyle w:val="Emphasis"/>
          <w:color w:val="AEAAAA" w:themeColor="background2" w:themeShade="BF"/>
          <w:szCs w:val="24"/>
        </w:rPr>
        <w:t>F</w:t>
      </w:r>
      <w:r w:rsidRPr="00A85C8D">
        <w:rPr>
          <w:color w:val="AEAAAA" w:themeColor="background2" w:themeShade="BF"/>
          <w:szCs w:val="24"/>
        </w:rPr>
        <w:t xml:space="preserve"> and</w:t>
      </w:r>
      <w:r w:rsidRPr="00A85C8D">
        <w:rPr>
          <w:rStyle w:val="Emphasis"/>
          <w:color w:val="AEAAAA" w:themeColor="background2" w:themeShade="BF"/>
          <w:szCs w:val="24"/>
        </w:rPr>
        <w:t xml:space="preserve"> K,</w:t>
      </w:r>
      <w:r w:rsidRPr="00A85C8D">
        <w:rPr>
          <w:color w:val="AEAAAA" w:themeColor="background2" w:themeShade="BF"/>
          <w:szCs w:val="24"/>
        </w:rPr>
        <w:t xml:space="preserve"> [not yet decided]</w:t>
      </w:r>
    </w:p>
    <w:p w14:paraId="0E98E281" w14:textId="77777777" w:rsidR="00016FFA" w:rsidRPr="00834908" w:rsidRDefault="00016FFA" w:rsidP="00016FFA">
      <w:pPr>
        <w:pStyle w:val="ListParagraph"/>
        <w:spacing w:line="240" w:lineRule="auto"/>
        <w:rPr>
          <w:rStyle w:val="acopre"/>
          <w:rFonts w:cstheme="minorHAnsi"/>
          <w:color w:val="000000" w:themeColor="text1"/>
          <w:highlight w:val="yellow"/>
        </w:rPr>
      </w:pPr>
    </w:p>
    <w:p w14:paraId="136F330C" w14:textId="51448607" w:rsidR="00B83DB5" w:rsidRDefault="005E1F73" w:rsidP="00E16F22">
      <w:pPr>
        <w:pStyle w:val="Heading2"/>
        <w:rPr>
          <w:rFonts w:cs="Calibri"/>
          <w:bCs/>
          <w:iCs/>
        </w:rPr>
      </w:pPr>
      <w:r>
        <w:rPr>
          <w:rFonts w:cs="Calibri"/>
          <w:bCs/>
          <w:iCs/>
        </w:rPr>
        <w:t>17-18</w:t>
      </w:r>
      <w:r w:rsidR="00351BD3" w:rsidRPr="00651CFF">
        <w:rPr>
          <w:rFonts w:cs="Calibri"/>
          <w:bCs/>
          <w:iCs/>
        </w:rPr>
        <w:t xml:space="preserve"> – </w:t>
      </w:r>
      <w:r w:rsidR="00A93DB8">
        <w:rPr>
          <w:rFonts w:cs="Calibri"/>
          <w:bCs/>
          <w:iCs/>
        </w:rPr>
        <w:t xml:space="preserve">Multilevel </w:t>
      </w:r>
      <w:r w:rsidR="00AC118F">
        <w:rPr>
          <w:rFonts w:cs="Calibri"/>
          <w:bCs/>
          <w:iCs/>
        </w:rPr>
        <w:t xml:space="preserve">and overlapping </w:t>
      </w:r>
      <w:r w:rsidR="00A93DB8">
        <w:rPr>
          <w:rFonts w:cs="Calibri"/>
          <w:bCs/>
          <w:iCs/>
        </w:rPr>
        <w:t xml:space="preserve">human rights frameworks in Europe: between national constitutions and the </w:t>
      </w:r>
      <w:r w:rsidR="00A87EDB">
        <w:rPr>
          <w:rFonts w:cs="Calibri"/>
          <w:bCs/>
          <w:iCs/>
        </w:rPr>
        <w:t>EU</w:t>
      </w:r>
      <w:r w:rsidR="001E7B83" w:rsidRPr="00651CFF">
        <w:rPr>
          <w:rFonts w:cs="Calibri"/>
          <w:bCs/>
          <w:iCs/>
        </w:rPr>
        <w:t xml:space="preserve"> Charter of Fundamental Rights</w:t>
      </w:r>
      <w:r w:rsidR="00AA6750" w:rsidRPr="00651CFF">
        <w:rPr>
          <w:rFonts w:cs="Calibri"/>
          <w:bCs/>
          <w:iCs/>
        </w:rPr>
        <w:t xml:space="preserve"> </w:t>
      </w:r>
    </w:p>
    <w:p w14:paraId="056DDF0B" w14:textId="38F9F467" w:rsidR="00AD1D18" w:rsidRDefault="00A74EF1" w:rsidP="00AD1D18">
      <w:r>
        <w:t xml:space="preserve">In constitutional </w:t>
      </w:r>
      <w:r w:rsidR="00AE71E3">
        <w:t xml:space="preserve">and liberal </w:t>
      </w:r>
      <w:r>
        <w:t>democrac</w:t>
      </w:r>
      <w:r w:rsidR="00AE71E3">
        <w:t>ies, n</w:t>
      </w:r>
      <w:r w:rsidR="00AA3CD1">
        <w:t xml:space="preserve">ational legal (constitutional) systems are </w:t>
      </w:r>
      <w:r w:rsidR="00FE55A4">
        <w:t xml:space="preserve">thought as </w:t>
      </w:r>
      <w:r w:rsidR="00AA3CD1">
        <w:t>the first port of call</w:t>
      </w:r>
      <w:r w:rsidR="00FE55A4">
        <w:t xml:space="preserve"> for addressing human rights violations</w:t>
      </w:r>
      <w:r w:rsidR="00D9167F">
        <w:t xml:space="preserve">, and national </w:t>
      </w:r>
      <w:r w:rsidR="00B74317">
        <w:t xml:space="preserve">(constitutional) </w:t>
      </w:r>
      <w:r w:rsidR="00D9167F">
        <w:t>courts usually have it as one of their core missions. National conceptions of fundamental rights protection may</w:t>
      </w:r>
      <w:r w:rsidR="00140601">
        <w:t xml:space="preserve"> not always be fully aligned with EU ones, which can lead to tensions and confusions, in particular where jurisdictions </w:t>
      </w:r>
      <w:r w:rsidR="00B74317">
        <w:t xml:space="preserve">potentially </w:t>
      </w:r>
      <w:r w:rsidR="00140601">
        <w:t xml:space="preserve">overlap. Moreover, national courts are not </w:t>
      </w:r>
      <w:r w:rsidR="00B74317">
        <w:t xml:space="preserve">all </w:t>
      </w:r>
      <w:r w:rsidR="00140601">
        <w:t xml:space="preserve">ready to </w:t>
      </w:r>
      <w:r w:rsidR="00A17729">
        <w:t xml:space="preserve">handover their </w:t>
      </w:r>
      <w:r w:rsidR="009A65CC">
        <w:t>fundamental</w:t>
      </w:r>
      <w:r w:rsidR="00A17729">
        <w:t xml:space="preserve"> rights</w:t>
      </w:r>
      <w:r w:rsidR="009A65CC">
        <w:t xml:space="preserve"> control</w:t>
      </w:r>
      <w:r w:rsidR="00A17729">
        <w:t xml:space="preserve"> mandate to the CJEU, which </w:t>
      </w:r>
      <w:r w:rsidR="009A65CC">
        <w:t>creates</w:t>
      </w:r>
      <w:r w:rsidR="00A17729">
        <w:t xml:space="preserve"> competitions and emulations. W</w:t>
      </w:r>
      <w:r w:rsidR="00E06F17">
        <w:t xml:space="preserve">e will explore these interactions by approaching EU human rights form the perspective of national courts, and reflect on </w:t>
      </w:r>
      <w:r w:rsidR="004C340C">
        <w:t xml:space="preserve">possible </w:t>
      </w:r>
      <w:r w:rsidR="00E06F17">
        <w:t>implications for the development of EU human rights law and the dynamics of European integration and governance.</w:t>
      </w:r>
    </w:p>
    <w:p w14:paraId="55C73F07" w14:textId="765BC272" w:rsidR="00A74EF1" w:rsidRDefault="00A74EF1" w:rsidP="00AD1D18">
      <w:r>
        <w:t>Questions for discussion</w:t>
      </w:r>
    </w:p>
    <w:p w14:paraId="28546252" w14:textId="222A8F46" w:rsidR="004C340C" w:rsidRDefault="004C340C" w:rsidP="00AD1D18">
      <w:r>
        <w:t xml:space="preserve">How </w:t>
      </w:r>
      <w:r w:rsidR="002B5EDA">
        <w:t xml:space="preserve">have national courts received the Charter? How much do litigants invoke the EU Charter in litigation before domestic courts? How much do national court use the Charter in their decision? </w:t>
      </w:r>
      <w:r w:rsidR="00A366A0">
        <w:t>How do national courts interpret and apply the Charter?</w:t>
      </w:r>
    </w:p>
    <w:p w14:paraId="7A4F6F53" w14:textId="07483192" w:rsidR="001B069B" w:rsidRDefault="00A804AB" w:rsidP="00AD1D18">
      <w:r>
        <w:t xml:space="preserve">When do litigants and national courts frame issues as violation of EU fundamental rights </w:t>
      </w:r>
      <w:r w:rsidR="002710D5">
        <w:t xml:space="preserve">and/or national constitutional rights? What role </w:t>
      </w:r>
      <w:r w:rsidR="00E351D9">
        <w:t xml:space="preserve">des </w:t>
      </w:r>
      <w:r w:rsidR="002710D5">
        <w:t>the constitutional identity clause play in managing relationships between national and EU fundamental rights frameworks</w:t>
      </w:r>
      <w:r w:rsidR="00E351D9">
        <w:t>, or different conceptions of fundamental rights?</w:t>
      </w:r>
    </w:p>
    <w:p w14:paraId="2AB3FFC6" w14:textId="77777777" w:rsidR="00244C17" w:rsidRDefault="00244C17" w:rsidP="00AD1D18"/>
    <w:p w14:paraId="5BB4A26A" w14:textId="4321FEB6" w:rsidR="00244C17" w:rsidRDefault="00333205" w:rsidP="00244C17">
      <w:pPr>
        <w:pStyle w:val="Heading3"/>
      </w:pPr>
      <w:r>
        <w:t>Preparation for the class</w:t>
      </w:r>
    </w:p>
    <w:p w14:paraId="0FC743FE" w14:textId="715FA805" w:rsidR="00333205" w:rsidRPr="00AD1D18" w:rsidRDefault="00244C17" w:rsidP="00AD1D18">
      <w:r>
        <w:t>C</w:t>
      </w:r>
      <w:r w:rsidR="00333205">
        <w:t>heck the FRA case law database</w:t>
      </w:r>
      <w:r>
        <w:t xml:space="preserve"> (</w:t>
      </w:r>
      <w:hyperlink r:id="rId54" w:history="1">
        <w:r w:rsidRPr="00AC1BB1">
          <w:rPr>
            <w:rStyle w:val="Hyperlink"/>
            <w:szCs w:val="24"/>
          </w:rPr>
          <w:t>https://fra.europa.eu/en/case-law-database</w:t>
        </w:r>
      </w:hyperlink>
      <w:r>
        <w:rPr>
          <w:szCs w:val="24"/>
        </w:rPr>
        <w:t xml:space="preserve"> )</w:t>
      </w:r>
      <w:r>
        <w:t>, identify a case by a national court invoking the Charter and be ready to talk about it in class.</w:t>
      </w:r>
      <w:r w:rsidR="00333205">
        <w:t xml:space="preserve"> </w:t>
      </w:r>
    </w:p>
    <w:p w14:paraId="27BE95C1" w14:textId="2B7BCE6B" w:rsidR="001818EF" w:rsidRPr="00651CFF" w:rsidRDefault="001818EF" w:rsidP="003B1911">
      <w:pPr>
        <w:pStyle w:val="Heading3"/>
      </w:pPr>
      <w:r w:rsidRPr="00651CFF">
        <w:t>Mandatory reading</w:t>
      </w:r>
    </w:p>
    <w:p w14:paraId="51F16075" w14:textId="585A728F" w:rsidR="00AA12B3" w:rsidRPr="00AA12B3" w:rsidRDefault="00AA12B3">
      <w:pPr>
        <w:pStyle w:val="ListParagraph"/>
        <w:numPr>
          <w:ilvl w:val="0"/>
          <w:numId w:val="22"/>
        </w:numPr>
        <w:rPr>
          <w:b/>
          <w:szCs w:val="24"/>
        </w:rPr>
      </w:pPr>
      <w:r>
        <w:t>Art. 53 CFR</w:t>
      </w:r>
      <w:r w:rsidR="00142FDF">
        <w:t xml:space="preserve"> and Article 4(2) TEU</w:t>
      </w:r>
    </w:p>
    <w:p w14:paraId="44B191B5" w14:textId="77777777" w:rsidR="00951F7F" w:rsidRDefault="00951F7F">
      <w:pPr>
        <w:pStyle w:val="ListParagraph"/>
        <w:numPr>
          <w:ilvl w:val="0"/>
          <w:numId w:val="22"/>
        </w:numPr>
        <w:rPr>
          <w:szCs w:val="24"/>
        </w:rPr>
      </w:pPr>
      <w:r w:rsidRPr="006A427F">
        <w:rPr>
          <w:szCs w:val="24"/>
        </w:rPr>
        <w:t xml:space="preserve">D Thym, ‘Friendly Takeover, or: the Power of the ‘First Word’. The German Constitutional Court Embraces the Charter of Fundamental Rights as a Standard of Domestic Judicial Review.’ </w:t>
      </w:r>
      <w:r>
        <w:rPr>
          <w:szCs w:val="24"/>
        </w:rPr>
        <w:t xml:space="preserve">(2020) 16:2 </w:t>
      </w:r>
      <w:r w:rsidRPr="006A427F">
        <w:rPr>
          <w:i/>
          <w:szCs w:val="24"/>
        </w:rPr>
        <w:t>European Constitutional Law Review</w:t>
      </w:r>
      <w:r w:rsidRPr="006A427F">
        <w:rPr>
          <w:szCs w:val="24"/>
        </w:rPr>
        <w:t xml:space="preserve"> 187-212 </w:t>
      </w:r>
    </w:p>
    <w:p w14:paraId="68AE462D" w14:textId="1C3C5764" w:rsidR="00350735" w:rsidRPr="00350735" w:rsidRDefault="00350735">
      <w:pPr>
        <w:pStyle w:val="ListParagraph"/>
        <w:numPr>
          <w:ilvl w:val="0"/>
          <w:numId w:val="22"/>
        </w:numPr>
        <w:rPr>
          <w:b/>
          <w:szCs w:val="24"/>
        </w:rPr>
      </w:pPr>
      <w:r>
        <w:lastRenderedPageBreak/>
        <w:t>M. Claes, 'National Identity and the Protection of Fundamental Rights', (2021), 27.3</w:t>
      </w:r>
      <w:r w:rsidRPr="00350735">
        <w:rPr>
          <w:i/>
          <w:iCs/>
        </w:rPr>
        <w:t>, European Public Law,</w:t>
      </w:r>
      <w:r>
        <w:t xml:space="preserve"> pp. 517-535</w:t>
      </w:r>
      <w:r w:rsidR="002C6472">
        <w:t>.</w:t>
      </w:r>
    </w:p>
    <w:p w14:paraId="4B738DD0" w14:textId="20689F26" w:rsidR="001818EF" w:rsidRPr="00F454CB" w:rsidRDefault="001818EF">
      <w:pPr>
        <w:pStyle w:val="ListParagraph"/>
        <w:numPr>
          <w:ilvl w:val="0"/>
          <w:numId w:val="22"/>
        </w:numPr>
        <w:rPr>
          <w:b/>
          <w:szCs w:val="24"/>
        </w:rPr>
      </w:pPr>
      <w:r w:rsidRPr="006A427F">
        <w:rPr>
          <w:szCs w:val="24"/>
        </w:rPr>
        <w:t xml:space="preserve">FRA </w:t>
      </w:r>
      <w:r w:rsidR="00651CFF" w:rsidRPr="006A427F">
        <w:rPr>
          <w:szCs w:val="24"/>
        </w:rPr>
        <w:t>An</w:t>
      </w:r>
      <w:r w:rsidRPr="006A427F">
        <w:rPr>
          <w:szCs w:val="24"/>
        </w:rPr>
        <w:t xml:space="preserve">nual </w:t>
      </w:r>
      <w:r w:rsidR="00651CFF" w:rsidRPr="006A427F">
        <w:rPr>
          <w:szCs w:val="24"/>
        </w:rPr>
        <w:t>F</w:t>
      </w:r>
      <w:r w:rsidRPr="006A427F">
        <w:rPr>
          <w:szCs w:val="24"/>
        </w:rPr>
        <w:t xml:space="preserve">undamental </w:t>
      </w:r>
      <w:r w:rsidR="00651CFF" w:rsidRPr="006A427F">
        <w:rPr>
          <w:szCs w:val="24"/>
        </w:rPr>
        <w:t>R</w:t>
      </w:r>
      <w:r w:rsidRPr="006A427F">
        <w:rPr>
          <w:szCs w:val="24"/>
        </w:rPr>
        <w:t xml:space="preserve">ights </w:t>
      </w:r>
      <w:r w:rsidR="00651CFF" w:rsidRPr="006A427F">
        <w:rPr>
          <w:szCs w:val="24"/>
        </w:rPr>
        <w:t>R</w:t>
      </w:r>
      <w:r w:rsidRPr="006A427F">
        <w:rPr>
          <w:szCs w:val="24"/>
        </w:rPr>
        <w:t xml:space="preserve">eport (2021) </w:t>
      </w:r>
      <w:hyperlink r:id="rId55" w:history="1">
        <w:r w:rsidRPr="006A427F">
          <w:rPr>
            <w:rStyle w:val="Hyperlink"/>
            <w:rFonts w:cstheme="minorHAnsi"/>
            <w:szCs w:val="24"/>
          </w:rPr>
          <w:t>https://fra.europa.eu/sites/default/files/fra_uploads/fra-2021-fundamental-rights-report-2021_en.pdf</w:t>
        </w:r>
      </w:hyperlink>
      <w:r w:rsidRPr="006A427F">
        <w:rPr>
          <w:szCs w:val="24"/>
        </w:rPr>
        <w:t xml:space="preserve">  (section 2, The Charter at national level</w:t>
      </w:r>
      <w:r w:rsidR="00384D67">
        <w:rPr>
          <w:szCs w:val="24"/>
        </w:rPr>
        <w:t>, in particular section</w:t>
      </w:r>
      <w:r w:rsidR="00A216DA">
        <w:rPr>
          <w:szCs w:val="24"/>
        </w:rPr>
        <w:t xml:space="preserve"> 2.2</w:t>
      </w:r>
      <w:r w:rsidR="00384D67">
        <w:rPr>
          <w:szCs w:val="24"/>
        </w:rPr>
        <w:t xml:space="preserve"> ‘The Charter and the Judiciary’</w:t>
      </w:r>
      <w:r w:rsidRPr="006A427F">
        <w:rPr>
          <w:szCs w:val="24"/>
        </w:rPr>
        <w:t>)</w:t>
      </w:r>
    </w:p>
    <w:p w14:paraId="7B1A2E42" w14:textId="77777777" w:rsidR="00F454CB" w:rsidRPr="00333205" w:rsidRDefault="00F454CB">
      <w:pPr>
        <w:pStyle w:val="ListParagraph"/>
        <w:numPr>
          <w:ilvl w:val="0"/>
          <w:numId w:val="22"/>
        </w:numPr>
        <w:rPr>
          <w:b/>
          <w:szCs w:val="24"/>
        </w:rPr>
      </w:pPr>
    </w:p>
    <w:p w14:paraId="08580648" w14:textId="23EFDA9E" w:rsidR="00927B5A" w:rsidRPr="00FF7B3C" w:rsidRDefault="002B1F16">
      <w:pPr>
        <w:pStyle w:val="ListParagraph"/>
        <w:numPr>
          <w:ilvl w:val="0"/>
          <w:numId w:val="22"/>
        </w:numPr>
      </w:pPr>
      <w:r>
        <w:t>B. Selejan Gutan, ‘</w:t>
      </w:r>
      <w:r w:rsidR="00927B5A">
        <w:t>Op</w:t>
      </w:r>
      <w:r w:rsidR="00F123C0">
        <w:t>E</w:t>
      </w:r>
      <w:r w:rsidR="00927B5A">
        <w:t>d</w:t>
      </w:r>
      <w:r>
        <w:t xml:space="preserve">: Constitutional court v EU law – A Romanian saga in case C-430/21’ </w:t>
      </w:r>
      <w:r w:rsidR="00884F49">
        <w:t>(18 March 2022)</w:t>
      </w:r>
      <w:r>
        <w:t xml:space="preserve"> (</w:t>
      </w:r>
      <w:hyperlink r:id="rId56" w:history="1">
        <w:r w:rsidRPr="00210403">
          <w:rPr>
            <w:rStyle w:val="Hyperlink"/>
          </w:rPr>
          <w:t>https://eulawlive.com/op-ed-constitutional-court-versus-eu-law-a-romanian-saga-the-judgment-in-case-c-430-21-rs-by-bianca-selejan-gutan/</w:t>
        </w:r>
      </w:hyperlink>
      <w:r w:rsidR="00927B5A">
        <w:t xml:space="preserve"> </w:t>
      </w:r>
      <w:r w:rsidR="00FF3D47">
        <w:t>)</w:t>
      </w:r>
    </w:p>
    <w:p w14:paraId="415F5FED" w14:textId="14AA807E" w:rsidR="00FF7B3C" w:rsidRPr="00FF7B3C" w:rsidRDefault="00FF7B3C" w:rsidP="00FF7B3C">
      <w:pPr>
        <w:pStyle w:val="Heading3"/>
      </w:pPr>
      <w:r>
        <w:t>Further reading</w:t>
      </w:r>
    </w:p>
    <w:p w14:paraId="071F4810" w14:textId="77777777" w:rsidR="00104D76" w:rsidRPr="00651CFF" w:rsidRDefault="00104D76">
      <w:pPr>
        <w:pStyle w:val="ListParagraph"/>
        <w:numPr>
          <w:ilvl w:val="0"/>
          <w:numId w:val="22"/>
        </w:numPr>
      </w:pPr>
      <w:r w:rsidRPr="00651CFF">
        <w:t xml:space="preserve">D Sarmiento, ‘Who's afraid of the Charter? The Court of Justice, national courts and the new framework of fundamental rights protection in Europe.’ </w:t>
      </w:r>
      <w:r w:rsidRPr="000909FA">
        <w:rPr>
          <w:iCs/>
        </w:rPr>
        <w:t>Common Market Law Review</w:t>
      </w:r>
      <w:r w:rsidRPr="00651CFF">
        <w:t xml:space="preserve"> 50.5 (2013).</w:t>
      </w:r>
    </w:p>
    <w:p w14:paraId="41F76EBE" w14:textId="77777777" w:rsidR="004404B8" w:rsidRPr="00651CFF" w:rsidRDefault="004404B8">
      <w:pPr>
        <w:pStyle w:val="ListParagraph"/>
        <w:numPr>
          <w:ilvl w:val="0"/>
          <w:numId w:val="22"/>
        </w:numPr>
      </w:pPr>
      <w:r w:rsidRPr="00651CFF">
        <w:t xml:space="preserve">C Rauchegger, ‘National Constitutional Courts as Guardians of the Charter: A Comparative Appraisal of the German Federal Constitutional Court's Right to Be Forgotten Judgments’ (2020) 22 </w:t>
      </w:r>
      <w:r w:rsidRPr="00951F7F">
        <w:rPr>
          <w:i/>
        </w:rPr>
        <w:t>Cambridge Yearbook of European Legal Studies,</w:t>
      </w:r>
      <w:r w:rsidRPr="00651CFF">
        <w:t xml:space="preserve"> </w:t>
      </w:r>
      <w:r w:rsidRPr="004404B8">
        <w:rPr>
          <w:iCs/>
        </w:rPr>
        <w:t>22</w:t>
      </w:r>
      <w:r w:rsidRPr="00651CFF">
        <w:t>, 258-278.</w:t>
      </w:r>
    </w:p>
    <w:p w14:paraId="4D1B67CD" w14:textId="4ADB7277" w:rsidR="004B47F9" w:rsidRPr="004B47F9" w:rsidRDefault="00CF61D2">
      <w:pPr>
        <w:pStyle w:val="ListParagraph"/>
        <w:numPr>
          <w:ilvl w:val="0"/>
          <w:numId w:val="22"/>
        </w:numPr>
      </w:pPr>
      <w:r>
        <w:t xml:space="preserve">M. </w:t>
      </w:r>
      <w:r w:rsidR="004B47F9" w:rsidRPr="004B47F9">
        <w:t xml:space="preserve">Fichera, &amp; </w:t>
      </w:r>
      <w:r>
        <w:t xml:space="preserve">O. </w:t>
      </w:r>
      <w:r w:rsidR="004B47F9" w:rsidRPr="004B47F9">
        <w:t>Pollicino, O.</w:t>
      </w:r>
      <w:r>
        <w:t>,</w:t>
      </w:r>
      <w:r w:rsidR="004B47F9" w:rsidRPr="004B47F9">
        <w:t xml:space="preserve"> The Dialectics Between Constitutional Identity and Common Constitutional Traditions: Which Language for Cooperative Constitutionalism in Europe?. </w:t>
      </w:r>
      <w:r w:rsidRPr="004B47F9">
        <w:t>2019 (</w:t>
      </w:r>
      <w:r w:rsidRPr="000C7A16">
        <w:rPr>
          <w:i/>
          <w:iCs/>
        </w:rPr>
        <w:t>20</w:t>
      </w:r>
      <w:r w:rsidRPr="004B47F9">
        <w:t xml:space="preserve">(8) </w:t>
      </w:r>
      <w:r w:rsidR="004B47F9" w:rsidRPr="000C7A16">
        <w:rPr>
          <w:i/>
          <w:iCs/>
        </w:rPr>
        <w:t>German Law Journal</w:t>
      </w:r>
      <w:r w:rsidR="004B47F9" w:rsidRPr="004B47F9">
        <w:t>, 1097-1118.</w:t>
      </w:r>
    </w:p>
    <w:p w14:paraId="659E0723" w14:textId="04EC832B" w:rsidR="008337FF" w:rsidRPr="008337FF" w:rsidRDefault="008337FF">
      <w:pPr>
        <w:pStyle w:val="ListParagraph"/>
        <w:numPr>
          <w:ilvl w:val="0"/>
          <w:numId w:val="22"/>
        </w:numPr>
      </w:pPr>
      <w:r w:rsidRPr="008337FF">
        <w:t xml:space="preserve">Drinóczi, T. (2020). </w:t>
      </w:r>
      <w:r w:rsidR="00CD6851">
        <w:t>‘</w:t>
      </w:r>
      <w:r w:rsidRPr="008337FF">
        <w:t>Constitutional Identity in Europe: The Identity of the Constitution. A Regional Approach</w:t>
      </w:r>
      <w:r w:rsidR="00CD6851">
        <w:t>’</w:t>
      </w:r>
      <w:r w:rsidRPr="008337FF">
        <w:t xml:space="preserve">. </w:t>
      </w:r>
      <w:r w:rsidR="00CF61D2">
        <w:t xml:space="preserve">(2020) 21(2) </w:t>
      </w:r>
      <w:r w:rsidRPr="000C7A16">
        <w:rPr>
          <w:i/>
          <w:iCs/>
        </w:rPr>
        <w:t>German Law Journal</w:t>
      </w:r>
      <w:r w:rsidRPr="008337FF">
        <w:t>, 105-130.</w:t>
      </w:r>
    </w:p>
    <w:p w14:paraId="368AB582" w14:textId="00D833A5" w:rsidR="00F40DB6" w:rsidRDefault="00F40DB6">
      <w:pPr>
        <w:pStyle w:val="ListParagraph"/>
        <w:numPr>
          <w:ilvl w:val="0"/>
          <w:numId w:val="22"/>
        </w:numPr>
      </w:pPr>
      <w:r w:rsidRPr="00F40DB6">
        <w:t xml:space="preserve">Faraguna, P. (2017). </w:t>
      </w:r>
      <w:r w:rsidR="00CD6851">
        <w:t>‘</w:t>
      </w:r>
      <w:r w:rsidRPr="00F40DB6">
        <w:t>Constitutional Identity in the EU–A Shield or a Sword?</w:t>
      </w:r>
      <w:r w:rsidR="00CD6851">
        <w:t>’</w:t>
      </w:r>
      <w:r w:rsidRPr="00F40DB6">
        <w:t xml:space="preserve">. </w:t>
      </w:r>
      <w:r w:rsidRPr="000C7A16">
        <w:rPr>
          <w:i/>
          <w:iCs/>
        </w:rPr>
        <w:t>German Law Journal</w:t>
      </w:r>
      <w:r w:rsidRPr="00F40DB6">
        <w:t xml:space="preserve">, </w:t>
      </w:r>
      <w:r w:rsidRPr="000C7A16">
        <w:rPr>
          <w:i/>
          <w:iCs/>
        </w:rPr>
        <w:t>18</w:t>
      </w:r>
      <w:r w:rsidRPr="00F40DB6">
        <w:t>(7), 1617-1640.</w:t>
      </w:r>
    </w:p>
    <w:p w14:paraId="00169C09" w14:textId="1DEFED08" w:rsidR="00725DEB" w:rsidRDefault="00725DEB">
      <w:pPr>
        <w:pStyle w:val="ListParagraph"/>
        <w:numPr>
          <w:ilvl w:val="0"/>
          <w:numId w:val="22"/>
        </w:numPr>
      </w:pPr>
      <w:r>
        <w:t>Vallée, Shahin; Genevoix, Gerard:</w:t>
      </w:r>
      <w:r>
        <w:rPr>
          <w:rStyle w:val="Emphasis"/>
        </w:rPr>
        <w:t xml:space="preserve"> A Securitarian Solange: France has launched a cluster bomb on the EU’s legal and political order, VerfBlog,</w:t>
      </w:r>
      <w:r>
        <w:t xml:space="preserve"> 2021/4/25, https://verfassungsblog.de/a-securitarian-solange/, DOI: </w:t>
      </w:r>
      <w:hyperlink r:id="rId57" w:tgtFrame="_blank" w:history="1">
        <w:r>
          <w:rPr>
            <w:rStyle w:val="Hyperlink"/>
          </w:rPr>
          <w:t>10.17176/20210426-101431-0</w:t>
        </w:r>
      </w:hyperlink>
      <w:r>
        <w:t>.</w:t>
      </w:r>
    </w:p>
    <w:p w14:paraId="4883E899" w14:textId="512BC58B" w:rsidR="00724EF2" w:rsidRPr="00884F49" w:rsidRDefault="00724EF2" w:rsidP="00724EF2">
      <w:pPr>
        <w:pStyle w:val="Heading3"/>
      </w:pPr>
      <w:r>
        <w:t>C</w:t>
      </w:r>
      <w:r w:rsidR="00CF61D2">
        <w:t>lassic</w:t>
      </w:r>
      <w:r>
        <w:t xml:space="preserve"> cases</w:t>
      </w:r>
      <w:r w:rsidR="00CF61D2">
        <w:t xml:space="preserve"> (extracts)</w:t>
      </w:r>
    </w:p>
    <w:p w14:paraId="09C2F910" w14:textId="77777777" w:rsidR="00A15CB9" w:rsidRPr="00A15CB9" w:rsidRDefault="00A15CB9">
      <w:pPr>
        <w:pStyle w:val="ListParagraph"/>
        <w:numPr>
          <w:ilvl w:val="0"/>
          <w:numId w:val="22"/>
        </w:numPr>
        <w:rPr>
          <w:rFonts w:cstheme="minorHAnsi"/>
          <w:lang w:val="fr-FR"/>
        </w:rPr>
      </w:pPr>
      <w:r w:rsidRPr="00A15CB9">
        <w:rPr>
          <w:rStyle w:val="acopre"/>
          <w:rFonts w:cstheme="minorHAnsi"/>
          <w:lang w:val="fr-FR"/>
        </w:rPr>
        <w:t>[Solange I] BVerfGE 37, 271 ff.</w:t>
      </w:r>
    </w:p>
    <w:p w14:paraId="17D98C45" w14:textId="77777777" w:rsidR="00A15CB9" w:rsidRPr="00A15CB9" w:rsidRDefault="00A15CB9">
      <w:pPr>
        <w:pStyle w:val="ListParagraph"/>
        <w:numPr>
          <w:ilvl w:val="0"/>
          <w:numId w:val="22"/>
        </w:numPr>
        <w:rPr>
          <w:rFonts w:cstheme="minorHAnsi"/>
          <w:lang w:val="fr-FR"/>
        </w:rPr>
      </w:pPr>
      <w:r w:rsidRPr="00A15CB9">
        <w:rPr>
          <w:rFonts w:cstheme="minorHAnsi"/>
          <w:bCs/>
          <w:lang w:val="fr-FR"/>
        </w:rPr>
        <w:t xml:space="preserve">[Solange II] </w:t>
      </w:r>
      <w:r w:rsidRPr="00A15CB9">
        <w:rPr>
          <w:rFonts w:cstheme="minorHAnsi"/>
          <w:lang w:val="fr-FR"/>
        </w:rPr>
        <w:t>2 BvR BVerfGE 73, 339,</w:t>
      </w:r>
    </w:p>
    <w:p w14:paraId="0FE6E20D" w14:textId="531FC59C" w:rsidR="00A15CB9" w:rsidRPr="00CD6851" w:rsidRDefault="00A15CB9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A15CB9">
        <w:rPr>
          <w:rFonts w:cstheme="minorHAnsi"/>
        </w:rPr>
        <w:t>[So lange III] 2 BvR 2735/14</w:t>
      </w:r>
    </w:p>
    <w:p w14:paraId="04ECE058" w14:textId="456F64E3" w:rsidR="00CD6851" w:rsidRPr="00D47314" w:rsidRDefault="00CD6851">
      <w:pPr>
        <w:pStyle w:val="ListParagraph"/>
        <w:numPr>
          <w:ilvl w:val="0"/>
          <w:numId w:val="22"/>
        </w:numPr>
        <w:rPr>
          <w:lang w:val="fr-FR"/>
        </w:rPr>
      </w:pPr>
      <w:r w:rsidRPr="00D47314">
        <w:rPr>
          <w:lang w:val="fr-FR"/>
        </w:rPr>
        <w:t xml:space="preserve">C-430/20 </w:t>
      </w:r>
      <w:r w:rsidRPr="00D47314">
        <w:rPr>
          <w:i/>
          <w:iCs/>
          <w:lang w:val="fr-FR"/>
        </w:rPr>
        <w:t xml:space="preserve">RS (Effet des arrêts d’une juridiction constitutionnelle)  </w:t>
      </w:r>
      <w:r w:rsidRPr="00D47314">
        <w:rPr>
          <w:rStyle w:val="outputecliaff"/>
          <w:lang w:val="fr-FR"/>
        </w:rPr>
        <w:t>EU:C:2022:99</w:t>
      </w:r>
    </w:p>
    <w:p w14:paraId="12FCB3E6" w14:textId="0A94097D" w:rsidR="002D39B7" w:rsidRPr="00651CFF" w:rsidRDefault="002D39B7" w:rsidP="00724EF2">
      <w:pPr>
        <w:pStyle w:val="Heading3"/>
      </w:pPr>
      <w:r w:rsidRPr="00651CFF">
        <w:t>Cases for presentation</w:t>
      </w:r>
    </w:p>
    <w:p w14:paraId="18CCC91F" w14:textId="43F2790F" w:rsidR="00F32DDD" w:rsidRPr="00D47314" w:rsidRDefault="00F32DDD">
      <w:pPr>
        <w:pStyle w:val="ListParagraph"/>
        <w:numPr>
          <w:ilvl w:val="0"/>
          <w:numId w:val="23"/>
        </w:numPr>
        <w:rPr>
          <w:lang w:val="de-AT"/>
        </w:rPr>
      </w:pPr>
      <w:r w:rsidRPr="00D47314">
        <w:rPr>
          <w:lang w:val="de-AT"/>
        </w:rPr>
        <w:t>German</w:t>
      </w:r>
      <w:r w:rsidRPr="00D47314">
        <w:rPr>
          <w:i/>
          <w:iCs/>
          <w:lang w:val="de-AT"/>
        </w:rPr>
        <w:t xml:space="preserve"> Bundesverfassungsgericht</w:t>
      </w:r>
      <w:r w:rsidRPr="00D47314">
        <w:rPr>
          <w:lang w:val="de-AT"/>
        </w:rPr>
        <w:t xml:space="preserve"> 1 BvR 16/13, </w:t>
      </w:r>
      <w:r w:rsidRPr="00D47314">
        <w:rPr>
          <w:rStyle w:val="Emphasis"/>
          <w:rFonts w:cstheme="minorHAnsi"/>
          <w:lang w:val="de-AT"/>
        </w:rPr>
        <w:t>RTBF I</w:t>
      </w:r>
      <w:r w:rsidRPr="00D47314">
        <w:rPr>
          <w:lang w:val="de-AT"/>
        </w:rPr>
        <w:t xml:space="preserve">, 1 BvR 276/17, </w:t>
      </w:r>
      <w:r w:rsidRPr="00D47314">
        <w:rPr>
          <w:rStyle w:val="Emphasis"/>
          <w:rFonts w:cstheme="minorHAnsi"/>
          <w:lang w:val="de-AT"/>
        </w:rPr>
        <w:t>RTBF II</w:t>
      </w:r>
      <w:r w:rsidRPr="00D47314">
        <w:rPr>
          <w:lang w:val="de-AT"/>
        </w:rPr>
        <w:t>.</w:t>
      </w:r>
    </w:p>
    <w:p w14:paraId="5730761A" w14:textId="10583E26" w:rsidR="00F32DDD" w:rsidRDefault="00F32DDD">
      <w:pPr>
        <w:pStyle w:val="ListParagraph"/>
        <w:numPr>
          <w:ilvl w:val="0"/>
          <w:numId w:val="23"/>
        </w:numPr>
      </w:pPr>
      <w:r>
        <w:t xml:space="preserve">Italian </w:t>
      </w:r>
      <w:r w:rsidR="00560ECE" w:rsidRPr="00071ECE">
        <w:rPr>
          <w:i/>
          <w:iCs/>
        </w:rPr>
        <w:t>Corte Costitutionale</w:t>
      </w:r>
      <w:r>
        <w:t xml:space="preserve"> ruling </w:t>
      </w:r>
      <w:r w:rsidRPr="00CF61D2">
        <w:rPr>
          <w:rStyle w:val="Strong"/>
          <w:b w:val="0"/>
          <w:bCs w:val="0"/>
        </w:rPr>
        <w:t>15/2018</w:t>
      </w:r>
      <w:r>
        <w:t xml:space="preserve"> (Taricco saga) IT:COST:2018:115: </w:t>
      </w:r>
      <w:hyperlink r:id="rId58" w:history="1">
        <w:r w:rsidRPr="00210403">
          <w:rPr>
            <w:rStyle w:val="Hyperlink"/>
          </w:rPr>
          <w:t>https://www.cortecostituzionale.it/documenti/download/doc/recent_judgments/S_2018_115_EN.pdf</w:t>
        </w:r>
      </w:hyperlink>
      <w:r>
        <w:t xml:space="preserve"> </w:t>
      </w:r>
    </w:p>
    <w:p w14:paraId="10DDF70D" w14:textId="77777777" w:rsidR="00526E5A" w:rsidRDefault="00724EF2">
      <w:pPr>
        <w:pStyle w:val="ListParagraph"/>
        <w:numPr>
          <w:ilvl w:val="0"/>
          <w:numId w:val="23"/>
        </w:numPr>
      </w:pPr>
      <w:r>
        <w:t xml:space="preserve">French </w:t>
      </w:r>
      <w:r w:rsidRPr="00071ECE">
        <w:rPr>
          <w:i/>
          <w:iCs/>
        </w:rPr>
        <w:t>Conseil d'État</w:t>
      </w:r>
      <w:r>
        <w:t xml:space="preserve"> No 394925, Data Network Quadrature du Net, 14 October 2021, FR:CECHR:2021:394925.20211014 (English summary) </w:t>
      </w:r>
      <w:hyperlink r:id="rId59" w:history="1">
        <w:r w:rsidRPr="00CF61D2">
          <w:rPr>
            <w:rStyle w:val="Hyperlink"/>
            <w:rFonts w:cstheme="minorHAnsi"/>
          </w:rPr>
          <w:t>https://www.conseil-</w:t>
        </w:r>
        <w:r w:rsidRPr="00CF61D2">
          <w:rPr>
            <w:rStyle w:val="Hyperlink"/>
            <w:rFonts w:cstheme="minorHAnsi"/>
          </w:rPr>
          <w:lastRenderedPageBreak/>
          <w:t>etat.fr/en/content/download/159461/document/CP%20French%20Data%20Network%20%28ENG%29%20V3.pdf</w:t>
        </w:r>
      </w:hyperlink>
      <w:r>
        <w:t xml:space="preserve"> </w:t>
      </w:r>
    </w:p>
    <w:p w14:paraId="4C03DBD5" w14:textId="71360A16" w:rsidR="00932335" w:rsidRDefault="008D0E82">
      <w:pPr>
        <w:pStyle w:val="ListParagraph"/>
        <w:numPr>
          <w:ilvl w:val="0"/>
          <w:numId w:val="23"/>
        </w:numPr>
      </w:pPr>
      <w:r>
        <w:t xml:space="preserve">French </w:t>
      </w:r>
      <w:r w:rsidR="00F32DDD" w:rsidRPr="00071ECE">
        <w:rPr>
          <w:i/>
          <w:iCs/>
        </w:rPr>
        <w:t>Conseil d'État</w:t>
      </w:r>
      <w:r w:rsidR="00F32DDD">
        <w:t xml:space="preserve"> </w:t>
      </w:r>
      <w:r>
        <w:t>Decision no. 2021-940 QPC</w:t>
      </w:r>
      <w:r w:rsidR="00526E5A">
        <w:t xml:space="preserve"> Air France</w:t>
      </w:r>
      <w:r>
        <w:rPr>
          <w:rStyle w:val="Date1"/>
        </w:rPr>
        <w:t xml:space="preserve"> of 15 Octob</w:t>
      </w:r>
      <w:r w:rsidR="007972C5">
        <w:rPr>
          <w:rStyle w:val="Date1"/>
        </w:rPr>
        <w:t>er</w:t>
      </w:r>
      <w:r>
        <w:rPr>
          <w:rStyle w:val="Date1"/>
        </w:rPr>
        <w:t xml:space="preserve"> 2021</w:t>
      </w:r>
      <w:r w:rsidR="00526E5A">
        <w:rPr>
          <w:rStyle w:val="Date1"/>
        </w:rPr>
        <w:t xml:space="preserve"> </w:t>
      </w:r>
      <w:hyperlink r:id="rId60" w:history="1">
        <w:r w:rsidR="00115A4F" w:rsidRPr="00210403">
          <w:rPr>
            <w:rStyle w:val="Hyperlink"/>
            <w:rFonts w:cstheme="minorHAnsi"/>
          </w:rPr>
          <w:t>https://www.conseil-constitutionnel.fr/en/decision/2021/2021940QPC.htm</w:t>
        </w:r>
      </w:hyperlink>
      <w:r w:rsidR="00932335">
        <w:t xml:space="preserve"> </w:t>
      </w:r>
    </w:p>
    <w:p w14:paraId="67716ABC" w14:textId="77777777" w:rsidR="00560ECE" w:rsidRDefault="00560ECE" w:rsidP="008D0E82">
      <w:pPr>
        <w:rPr>
          <w:rFonts w:cstheme="minorHAnsi"/>
        </w:rPr>
      </w:pPr>
    </w:p>
    <w:p w14:paraId="0D2DC707" w14:textId="4CD6A8B0" w:rsidR="00DB46A4" w:rsidRDefault="006A4E93" w:rsidP="00654FD1">
      <w:pPr>
        <w:pStyle w:val="Heading2"/>
      </w:pPr>
      <w:r>
        <w:t>19-20</w:t>
      </w:r>
      <w:r w:rsidR="00814AB5">
        <w:t xml:space="preserve"> </w:t>
      </w:r>
      <w:r w:rsidR="00BC292D" w:rsidRPr="00651CFF">
        <w:t>–</w:t>
      </w:r>
      <w:r w:rsidR="002F150E" w:rsidRPr="00651CFF">
        <w:t xml:space="preserve"> </w:t>
      </w:r>
      <w:r w:rsidR="00D857EB">
        <w:t>Multilevel human rights frameworks in Europe</w:t>
      </w:r>
      <w:r w:rsidR="00A93DB8">
        <w:t xml:space="preserve"> (2)</w:t>
      </w:r>
      <w:r w:rsidR="00D857EB">
        <w:t>: b</w:t>
      </w:r>
      <w:r w:rsidR="00BC292D" w:rsidRPr="00651CFF">
        <w:t>etween the EU and Council of Europe</w:t>
      </w:r>
      <w:r w:rsidR="00D857EB">
        <w:t xml:space="preserve"> </w:t>
      </w:r>
      <w:r w:rsidR="00B92BC1">
        <w:t>[</w:t>
      </w:r>
      <w:r w:rsidR="00F257D2">
        <w:t xml:space="preserve">Areas of Freedom, Security and Justice; criminal law, </w:t>
      </w:r>
      <w:r w:rsidR="00EE44C3">
        <w:t>refugee law]</w:t>
      </w:r>
      <w:r w:rsidR="002850A4">
        <w:t xml:space="preserve"> </w:t>
      </w:r>
    </w:p>
    <w:p w14:paraId="410AB971" w14:textId="148E8B0F" w:rsidR="000825DD" w:rsidRDefault="000825DD" w:rsidP="000825DD">
      <w:r>
        <w:t xml:space="preserve">The </w:t>
      </w:r>
      <w:r w:rsidR="006E0CF9">
        <w:t xml:space="preserve">development of human rights review of EU and member states acts by the CJEU contributes to the complexity of the European human rights </w:t>
      </w:r>
      <w:r w:rsidR="00D03C5B">
        <w:t>system</w:t>
      </w:r>
      <w:r w:rsidR="00D06270">
        <w:t xml:space="preserve">, </w:t>
      </w:r>
      <w:r w:rsidR="001F2D8E">
        <w:t>including both the EU system and that of the Council of Europe (E</w:t>
      </w:r>
      <w:r w:rsidR="00310375">
        <w:t>uropean Convention on Human Rights, European Social Charter</w:t>
      </w:r>
      <w:r w:rsidR="001F2D8E">
        <w:t>)</w:t>
      </w:r>
      <w:r w:rsidR="006E0CF9">
        <w:t xml:space="preserve">. There are </w:t>
      </w:r>
      <w:r w:rsidR="00830213">
        <w:t>m</w:t>
      </w:r>
      <w:r w:rsidR="00076AB7">
        <w:t xml:space="preserve">any points of </w:t>
      </w:r>
      <w:r w:rsidR="006E0CF9">
        <w:t>interactions between the two sets of coexisting European human rights norms</w:t>
      </w:r>
      <w:r w:rsidR="004A06BD">
        <w:t>. The relationship between the</w:t>
      </w:r>
      <w:r w:rsidR="00B316E8">
        <w:t>ir</w:t>
      </w:r>
      <w:r w:rsidR="004A06BD">
        <w:t xml:space="preserve"> respective courts, the CJEU in Luxembourg and the ECtHR i</w:t>
      </w:r>
      <w:r w:rsidR="00830213">
        <w:t>n</w:t>
      </w:r>
      <w:r w:rsidR="004A06BD">
        <w:t xml:space="preserve"> Strasbourg </w:t>
      </w:r>
      <w:r w:rsidR="00B46C83">
        <w:t xml:space="preserve">(for the ECtHR) </w:t>
      </w:r>
      <w:r w:rsidR="00B316E8">
        <w:t xml:space="preserve">are generally </w:t>
      </w:r>
      <w:r w:rsidR="00EF50E2">
        <w:t>harmonious</w:t>
      </w:r>
      <w:r w:rsidR="00B316E8">
        <w:t xml:space="preserve"> and see</w:t>
      </w:r>
      <w:r w:rsidR="00830213">
        <w:t>k</w:t>
      </w:r>
      <w:r w:rsidR="00B316E8">
        <w:t xml:space="preserve"> to avoid </w:t>
      </w:r>
      <w:r w:rsidR="00EF50E2">
        <w:t xml:space="preserve">institutional, </w:t>
      </w:r>
      <w:r w:rsidR="00B316E8">
        <w:t xml:space="preserve">jurisdictional and substantive conflicts, but </w:t>
      </w:r>
      <w:r w:rsidR="00EF50E2">
        <w:t>there are ten</w:t>
      </w:r>
      <w:r w:rsidR="00076AB7">
        <w:t>s</w:t>
      </w:r>
      <w:r w:rsidR="00EF50E2">
        <w:t>ions</w:t>
      </w:r>
      <w:r w:rsidR="00B316E8">
        <w:t xml:space="preserve">. The resuming of the negotiation of EU accession to </w:t>
      </w:r>
      <w:r w:rsidR="00DE4BDB">
        <w:t xml:space="preserve">ECHR after the adverse opinion of the CJEU, and the recent case law, suggests </w:t>
      </w:r>
      <w:r w:rsidR="00A0484F">
        <w:t xml:space="preserve">a cooperative attitude on both sides. Both courts however operate in different institutional contexts and </w:t>
      </w:r>
      <w:r w:rsidR="00076AB7">
        <w:t>differ in their</w:t>
      </w:r>
      <w:r w:rsidR="00E03158">
        <w:t xml:space="preserve"> core missions and purposes which can affect their approach to particular human rights violations.</w:t>
      </w:r>
      <w:r w:rsidR="00B46C83">
        <w:t xml:space="preserve"> The engagement of the EU system with the </w:t>
      </w:r>
      <w:r w:rsidR="00310375">
        <w:t xml:space="preserve">(revised) </w:t>
      </w:r>
      <w:r w:rsidR="00B46C83">
        <w:t xml:space="preserve">European Social Charter has been </w:t>
      </w:r>
      <w:r w:rsidR="00310375">
        <w:t>more limited, with the risks that EU policies undermine its standards.</w:t>
      </w:r>
    </w:p>
    <w:p w14:paraId="340D63BD" w14:textId="5BBBC4F5" w:rsidR="004C131B" w:rsidRDefault="004C131B" w:rsidP="000825DD">
      <w:r>
        <w:t>Discussion questions:</w:t>
      </w:r>
    </w:p>
    <w:p w14:paraId="3C33472C" w14:textId="271950C6" w:rsidR="004C131B" w:rsidRPr="000825DD" w:rsidRDefault="00914D16" w:rsidP="000825DD">
      <w:r>
        <w:t xml:space="preserve">To what extent do the EU and CoE systems overlap? </w:t>
      </w:r>
      <w:r w:rsidR="008D6EC3">
        <w:t xml:space="preserve">Are there (inter) interinstitutional mechanisms which ensure consistency across these overlapping systems? </w:t>
      </w:r>
      <w:r w:rsidR="00D8367F">
        <w:t xml:space="preserve">Is the coexistence of the EU and CoE system of human rights </w:t>
      </w:r>
      <w:r w:rsidR="00623639">
        <w:t xml:space="preserve">a harmonious ones? </w:t>
      </w:r>
      <w:r w:rsidR="008D6EC3">
        <w:t xml:space="preserve">Should the EU accede to CoE instruments ECtHR and ESC? </w:t>
      </w:r>
      <w:r w:rsidR="00BE1CF9">
        <w:t>Would there be implications for the</w:t>
      </w:r>
      <w:r w:rsidR="0047446B">
        <w:t xml:space="preserve"> autonomy of EU law? How to determine which European sets of human rights norms apply? </w:t>
      </w:r>
      <w:r w:rsidR="00E07600">
        <w:t>How do litigants/CSO integrate these different legal frameworks in their litigation strategies?</w:t>
      </w:r>
      <w:r w:rsidR="00B34AAF">
        <w:t xml:space="preserve"> How much are each system under pressure to adjust to one another?</w:t>
      </w:r>
      <w:r w:rsidR="000E7C7B">
        <w:t xml:space="preserve"> Are different human rights standards between European system acceptable?</w:t>
      </w:r>
    </w:p>
    <w:p w14:paraId="6477FF55" w14:textId="43FCE80A" w:rsidR="00B31AC1" w:rsidRPr="00651CFF" w:rsidRDefault="00B31AC1" w:rsidP="00560ECE">
      <w:pPr>
        <w:pStyle w:val="Heading3"/>
      </w:pPr>
      <w:r w:rsidRPr="00651CFF">
        <w:t>Mandatory reading</w:t>
      </w:r>
    </w:p>
    <w:p w14:paraId="0CA29155" w14:textId="77777777" w:rsidR="00D03C5B" w:rsidRPr="00076AB7" w:rsidRDefault="00D03C5B">
      <w:pPr>
        <w:pStyle w:val="ListParagraph"/>
        <w:numPr>
          <w:ilvl w:val="0"/>
          <w:numId w:val="25"/>
        </w:numPr>
        <w:rPr>
          <w:u w:val="single"/>
        </w:rPr>
      </w:pPr>
      <w:r w:rsidRPr="00076AB7">
        <w:t xml:space="preserve">Eachother UK </w:t>
      </w:r>
      <w:hyperlink r:id="rId61" w:history="1">
        <w:r w:rsidRPr="00076AB7">
          <w:rPr>
            <w:rStyle w:val="Hyperlink"/>
            <w:rFonts w:cstheme="minorHAnsi"/>
            <w:szCs w:val="24"/>
          </w:rPr>
          <w:t>EU Charter v Human Rights Convention video</w:t>
        </w:r>
      </w:hyperlink>
      <w:r w:rsidRPr="00076AB7">
        <w:t xml:space="preserve"> (video, 2019)</w:t>
      </w:r>
    </w:p>
    <w:p w14:paraId="584424C0" w14:textId="5F544FAC" w:rsidR="00742855" w:rsidRDefault="004A6ED2">
      <w:pPr>
        <w:pStyle w:val="ListParagraph"/>
        <w:numPr>
          <w:ilvl w:val="0"/>
          <w:numId w:val="25"/>
        </w:numPr>
      </w:pPr>
      <w:r w:rsidRPr="00076AB7">
        <w:t xml:space="preserve">E. Spaventa ’Fundamental Rights in the European Union’ in C. Barnard and S. Peers (ed) </w:t>
      </w:r>
      <w:r w:rsidRPr="00076AB7">
        <w:rPr>
          <w:i/>
          <w:iCs/>
        </w:rPr>
        <w:t>European Union Law</w:t>
      </w:r>
      <w:r w:rsidRPr="00076AB7">
        <w:t xml:space="preserve"> (OUP, 2020) 243-282, read </w:t>
      </w:r>
      <w:r w:rsidRPr="00076AB7">
        <w:rPr>
          <w:highlight w:val="yellow"/>
        </w:rPr>
        <w:t>pp. 270-280</w:t>
      </w:r>
      <w:r w:rsidRPr="00076AB7">
        <w:t xml:space="preserve"> [10p]</w:t>
      </w:r>
    </w:p>
    <w:p w14:paraId="005B982D" w14:textId="4EF7597B" w:rsidR="00844E17" w:rsidRPr="00076AB7" w:rsidRDefault="00CD6ACD">
      <w:pPr>
        <w:pStyle w:val="ListParagraph"/>
        <w:numPr>
          <w:ilvl w:val="0"/>
          <w:numId w:val="25"/>
        </w:numPr>
      </w:pPr>
      <w:r>
        <w:t xml:space="preserve">O. De Schutter (2016), report for the European Parliament, </w:t>
      </w:r>
      <w:r w:rsidR="004D0D34">
        <w:t xml:space="preserve">‘The European Social Charter </w:t>
      </w:r>
      <w:r w:rsidR="00F7408B">
        <w:t xml:space="preserve">in the context of </w:t>
      </w:r>
      <w:r w:rsidR="004D0D34">
        <w:t xml:space="preserve">the implementation of the EU Charter of Fundamental Rights, </w:t>
      </w:r>
      <w:r w:rsidR="00F7408B">
        <w:t>PE</w:t>
      </w:r>
      <w:r w:rsidR="007C49F3">
        <w:t xml:space="preserve"> 636.488, </w:t>
      </w:r>
      <w:hyperlink r:id="rId62" w:history="1">
        <w:r w:rsidR="0013366C" w:rsidRPr="00EB30AF">
          <w:rPr>
            <w:rStyle w:val="Hyperlink"/>
          </w:rPr>
          <w:t>https://www.europarl.europa.eu/RegData/etudes/STUD/2016/536488/IPOL_STU(2016)536488_EN.pdf</w:t>
        </w:r>
      </w:hyperlink>
      <w:r w:rsidR="0013366C">
        <w:t xml:space="preserve">, read </w:t>
      </w:r>
      <w:r w:rsidR="0013366C" w:rsidRPr="00656CD1">
        <w:rPr>
          <w:highlight w:val="yellow"/>
        </w:rPr>
        <w:t xml:space="preserve">p. </w:t>
      </w:r>
      <w:r w:rsidR="00656CD1" w:rsidRPr="00656CD1">
        <w:rPr>
          <w:highlight w:val="yellow"/>
        </w:rPr>
        <w:t>24-39</w:t>
      </w:r>
      <w:r w:rsidR="00656CD1">
        <w:t xml:space="preserve"> [15p]</w:t>
      </w:r>
    </w:p>
    <w:p w14:paraId="77691DE1" w14:textId="16D4E25B" w:rsidR="004A6ED2" w:rsidRPr="00076AB7" w:rsidRDefault="00656CD1">
      <w:pPr>
        <w:pStyle w:val="ListParagraph"/>
        <w:numPr>
          <w:ilvl w:val="0"/>
          <w:numId w:val="25"/>
        </w:numPr>
        <w:rPr>
          <w:u w:val="single"/>
        </w:rPr>
      </w:pPr>
      <w:r>
        <w:t xml:space="preserve">Consult </w:t>
      </w:r>
      <w:r w:rsidR="004A6ED2" w:rsidRPr="00076AB7">
        <w:t xml:space="preserve">ILGA’s strategic litigation work: </w:t>
      </w:r>
      <w:hyperlink r:id="rId63" w:history="1">
        <w:r w:rsidR="004A6ED2" w:rsidRPr="00076AB7">
          <w:rPr>
            <w:rStyle w:val="Hyperlink"/>
          </w:rPr>
          <w:t>https://www.ilga-europe.org/what-we-do/our-strategic-litigation-work</w:t>
        </w:r>
      </w:hyperlink>
      <w:r w:rsidR="004A6ED2" w:rsidRPr="00076AB7">
        <w:t xml:space="preserve"> </w:t>
      </w:r>
    </w:p>
    <w:p w14:paraId="3BC38D51" w14:textId="030AA71E" w:rsidR="004542B7" w:rsidRPr="00076AB7" w:rsidRDefault="004542B7">
      <w:pPr>
        <w:pStyle w:val="ListParagraph"/>
        <w:numPr>
          <w:ilvl w:val="0"/>
          <w:numId w:val="25"/>
        </w:numPr>
      </w:pPr>
      <w:r w:rsidRPr="00076AB7">
        <w:t>Check the list of joint handbook</w:t>
      </w:r>
      <w:r w:rsidR="00F30860" w:rsidRPr="00076AB7">
        <w:t>s</w:t>
      </w:r>
      <w:r w:rsidRPr="00076AB7">
        <w:t xml:space="preserve"> by the FRA and ECHR: </w:t>
      </w:r>
      <w:hyperlink r:id="rId64" w:history="1">
        <w:r w:rsidRPr="00076AB7">
          <w:rPr>
            <w:rStyle w:val="Hyperlink"/>
          </w:rPr>
          <w:t>https://echr.coe.int/Pages/home.aspx?p=caselaw/otherpublications/handbooks&amp;c=</w:t>
        </w:r>
      </w:hyperlink>
      <w:r w:rsidRPr="00076AB7">
        <w:t xml:space="preserve"> </w:t>
      </w:r>
    </w:p>
    <w:p w14:paraId="45D29C50" w14:textId="4A01D49B" w:rsidR="004542B7" w:rsidRPr="00076AB7" w:rsidRDefault="004542B7">
      <w:pPr>
        <w:pStyle w:val="ListParagraph"/>
        <w:numPr>
          <w:ilvl w:val="0"/>
          <w:numId w:val="25"/>
        </w:numPr>
      </w:pPr>
      <w:r w:rsidRPr="00076AB7">
        <w:t xml:space="preserve">Consult Joint Note on European Standards of Legal Remedies at European borders (2021) </w:t>
      </w:r>
      <w:hyperlink r:id="rId65" w:history="1">
        <w:r w:rsidRPr="00076AB7">
          <w:rPr>
            <w:rStyle w:val="Hyperlink"/>
          </w:rPr>
          <w:t>https://fra.europa.eu/sites/default/files/fra_uploads/coe-fra-2021-effective-remedies-european-borders_en.pdf</w:t>
        </w:r>
      </w:hyperlink>
      <w:r w:rsidRPr="00076AB7">
        <w:t xml:space="preserve"> </w:t>
      </w:r>
    </w:p>
    <w:p w14:paraId="309DFCEB" w14:textId="6D14C4F7" w:rsidR="00287287" w:rsidRPr="00DB0F27" w:rsidRDefault="00287287">
      <w:pPr>
        <w:pStyle w:val="Heading1"/>
        <w:numPr>
          <w:ilvl w:val="0"/>
          <w:numId w:val="24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DB0F27">
        <w:rPr>
          <w:b w:val="0"/>
          <w:bCs w:val="0"/>
          <w:sz w:val="24"/>
          <w:szCs w:val="24"/>
        </w:rPr>
        <w:lastRenderedPageBreak/>
        <w:t xml:space="preserve">M Fink, Op-Ed: </w:t>
      </w:r>
      <w:r w:rsidR="00293C0E">
        <w:rPr>
          <w:b w:val="0"/>
          <w:bCs w:val="0"/>
          <w:sz w:val="24"/>
          <w:szCs w:val="24"/>
        </w:rPr>
        <w:t>’</w:t>
      </w:r>
      <w:r w:rsidRPr="00DB0F27">
        <w:rPr>
          <w:b w:val="0"/>
          <w:bCs w:val="0"/>
          <w:sz w:val="24"/>
          <w:szCs w:val="24"/>
        </w:rPr>
        <w:t xml:space="preserve">Non-Compliance with EU Law as a violation of the ECHR? The broader implications of </w:t>
      </w:r>
      <w:r w:rsidRPr="00DB0F27">
        <w:rPr>
          <w:rStyle w:val="Emphasis"/>
          <w:b w:val="0"/>
          <w:bCs w:val="0"/>
          <w:sz w:val="24"/>
          <w:szCs w:val="24"/>
        </w:rPr>
        <w:t>Spasov v Romania</w:t>
      </w:r>
      <w:r w:rsidRPr="00DB0F27">
        <w:rPr>
          <w:b w:val="0"/>
          <w:bCs w:val="0"/>
          <w:sz w:val="24"/>
          <w:szCs w:val="24"/>
        </w:rPr>
        <w:t>” (6 Feb 2023)</w:t>
      </w:r>
      <w:r w:rsidR="00263013">
        <w:rPr>
          <w:b w:val="0"/>
          <w:bCs w:val="0"/>
          <w:sz w:val="24"/>
          <w:szCs w:val="24"/>
        </w:rPr>
        <w:t xml:space="preserve"> </w:t>
      </w:r>
      <w:hyperlink r:id="rId66" w:history="1">
        <w:r w:rsidR="00263013" w:rsidRPr="007B5034">
          <w:rPr>
            <w:rStyle w:val="Hyperlink"/>
            <w:b w:val="0"/>
            <w:bCs w:val="0"/>
            <w:sz w:val="24"/>
            <w:szCs w:val="24"/>
          </w:rPr>
          <w:t>https://eulawlive.com/op-ed-non-compliance-with-eu-law-as-a-violation-of-the-echr-the-broader-implications-of-spasov-v-romania-by-melanie-fink/</w:t>
        </w:r>
      </w:hyperlink>
      <w:r w:rsidR="00263013">
        <w:rPr>
          <w:b w:val="0"/>
          <w:bCs w:val="0"/>
          <w:sz w:val="24"/>
          <w:szCs w:val="24"/>
        </w:rPr>
        <w:t xml:space="preserve"> </w:t>
      </w:r>
    </w:p>
    <w:p w14:paraId="3A045092" w14:textId="77777777" w:rsidR="00076AB7" w:rsidRDefault="00076AB7" w:rsidP="004542B7">
      <w:pPr>
        <w:ind w:left="360"/>
        <w:rPr>
          <w:szCs w:val="24"/>
        </w:rPr>
      </w:pPr>
    </w:p>
    <w:p w14:paraId="72BBE191" w14:textId="24D47EA3" w:rsidR="004542B7" w:rsidRPr="004542B7" w:rsidRDefault="00DB0F27" w:rsidP="00DB0F27">
      <w:pPr>
        <w:pStyle w:val="Heading3"/>
      </w:pPr>
      <w:r>
        <w:t>Further reading</w:t>
      </w:r>
    </w:p>
    <w:p w14:paraId="1BCF3A63" w14:textId="77777777" w:rsidR="00DB0F27" w:rsidRDefault="00DB0F27">
      <w:pPr>
        <w:pStyle w:val="ListParagraph"/>
        <w:numPr>
          <w:ilvl w:val="0"/>
          <w:numId w:val="24"/>
        </w:numPr>
      </w:pPr>
      <w:r>
        <w:t>S. O Leary ‘</w:t>
      </w:r>
      <w:r w:rsidRPr="006A427F">
        <w:t>Courts, charters and conventions: making sense of fundamental rights in the EU</w:t>
      </w:r>
      <w:r>
        <w:t xml:space="preserve"> (2016) 56 </w:t>
      </w:r>
      <w:r w:rsidRPr="00B42941">
        <w:rPr>
          <w:i/>
          <w:iCs/>
        </w:rPr>
        <w:t xml:space="preserve">Irish Jurist </w:t>
      </w:r>
      <w:r w:rsidRPr="006A427F">
        <w:t>2016, 56, 4-41</w:t>
      </w:r>
    </w:p>
    <w:p w14:paraId="37788FE3" w14:textId="525ED49C" w:rsidR="00B31AC1" w:rsidRPr="00DB0F27" w:rsidRDefault="00B31AC1">
      <w:pPr>
        <w:pStyle w:val="ListParagraph"/>
        <w:numPr>
          <w:ilvl w:val="0"/>
          <w:numId w:val="24"/>
        </w:numPr>
        <w:rPr>
          <w:szCs w:val="24"/>
        </w:rPr>
      </w:pPr>
      <w:r w:rsidRPr="00DB0F27">
        <w:rPr>
          <w:szCs w:val="24"/>
        </w:rPr>
        <w:t>K Lenaerts, ‘The ECHR and the CJEU: creating synergies in the field of fundamental rights protection’</w:t>
      </w:r>
      <w:r w:rsidR="009A4C9D" w:rsidRPr="00DB0F27">
        <w:rPr>
          <w:szCs w:val="24"/>
        </w:rPr>
        <w:t xml:space="preserve"> (speech 26 Jan 2018) </w:t>
      </w:r>
      <w:hyperlink r:id="rId67" w:history="1">
        <w:r w:rsidR="009A4C9D" w:rsidRPr="00DB0F27">
          <w:rPr>
            <w:rStyle w:val="Hyperlink"/>
            <w:szCs w:val="24"/>
          </w:rPr>
          <w:t>https://www.echr.coe.int/Documents/Speech_20180126_Lenaerts_JY_ENG.pdf</w:t>
        </w:r>
      </w:hyperlink>
      <w:r w:rsidR="009A4C9D" w:rsidRPr="00DB0F27">
        <w:rPr>
          <w:szCs w:val="24"/>
        </w:rPr>
        <w:t xml:space="preserve"> </w:t>
      </w:r>
    </w:p>
    <w:p w14:paraId="623B2522" w14:textId="71D32BEF" w:rsidR="002B169D" w:rsidRPr="00DB0F27" w:rsidRDefault="0084372D">
      <w:pPr>
        <w:pStyle w:val="ListParagraph"/>
        <w:numPr>
          <w:ilvl w:val="0"/>
          <w:numId w:val="24"/>
        </w:numPr>
        <w:rPr>
          <w:szCs w:val="24"/>
        </w:rPr>
      </w:pPr>
      <w:r w:rsidRPr="00DB0F27">
        <w:rPr>
          <w:szCs w:val="24"/>
        </w:rPr>
        <w:t xml:space="preserve">G. </w:t>
      </w:r>
      <w:r w:rsidR="00682501" w:rsidRPr="00DB0F27">
        <w:rPr>
          <w:szCs w:val="24"/>
        </w:rPr>
        <w:t xml:space="preserve">Cliquennois, </w:t>
      </w:r>
      <w:r w:rsidR="004A6ED2" w:rsidRPr="00DB0F27">
        <w:rPr>
          <w:szCs w:val="24"/>
        </w:rPr>
        <w:t xml:space="preserve">S </w:t>
      </w:r>
      <w:r w:rsidR="00682501" w:rsidRPr="00DB0F27">
        <w:rPr>
          <w:szCs w:val="24"/>
        </w:rPr>
        <w:t xml:space="preserve"> Snacken, and DVan Zyl Smit. Can European human rights instruments limit the power of the national state to punish? A tale of two Europes.</w:t>
      </w:r>
      <w:r w:rsidR="004A6ED2" w:rsidRPr="00DB0F27">
        <w:rPr>
          <w:szCs w:val="24"/>
        </w:rPr>
        <w:t xml:space="preserve"> (2021) 18:1</w:t>
      </w:r>
      <w:r w:rsidR="00682501" w:rsidRPr="00DB0F27">
        <w:rPr>
          <w:i/>
          <w:szCs w:val="24"/>
        </w:rPr>
        <w:t xml:space="preserve"> European journal of criminology</w:t>
      </w:r>
      <w:r w:rsidR="00682501" w:rsidRPr="00DB0F27">
        <w:rPr>
          <w:szCs w:val="24"/>
        </w:rPr>
        <w:t xml:space="preserve"> 11-32.</w:t>
      </w:r>
      <w:r w:rsidR="00EE44C3" w:rsidRPr="00DB0F27">
        <w:rPr>
          <w:szCs w:val="24"/>
        </w:rPr>
        <w:t xml:space="preserve"> </w:t>
      </w:r>
    </w:p>
    <w:p w14:paraId="174776A5" w14:textId="77777777" w:rsidR="00287287" w:rsidRPr="00076AB7" w:rsidRDefault="00287287">
      <w:pPr>
        <w:pStyle w:val="ListParagraph"/>
        <w:numPr>
          <w:ilvl w:val="0"/>
          <w:numId w:val="24"/>
        </w:numPr>
        <w:spacing w:line="240" w:lineRule="auto"/>
        <w:jc w:val="left"/>
        <w:rPr>
          <w:szCs w:val="24"/>
        </w:rPr>
      </w:pPr>
      <w:r w:rsidRPr="00076AB7">
        <w:rPr>
          <w:szCs w:val="24"/>
        </w:rPr>
        <w:t xml:space="preserve">Rosas, A. (2022). The Court of Justice of the European Union: A Human Rights Institution?. </w:t>
      </w:r>
      <w:r w:rsidRPr="00076AB7">
        <w:rPr>
          <w:i/>
          <w:iCs/>
          <w:szCs w:val="24"/>
        </w:rPr>
        <w:t>Journal of Human Rights Practice</w:t>
      </w:r>
      <w:r w:rsidRPr="00076AB7">
        <w:rPr>
          <w:szCs w:val="24"/>
        </w:rPr>
        <w:t xml:space="preserve">, </w:t>
      </w:r>
      <w:r w:rsidRPr="00076AB7">
        <w:rPr>
          <w:i/>
          <w:iCs/>
          <w:szCs w:val="24"/>
        </w:rPr>
        <w:t>14</w:t>
      </w:r>
      <w:r w:rsidRPr="00076AB7">
        <w:rPr>
          <w:szCs w:val="24"/>
        </w:rPr>
        <w:t>(1), 204-214.</w:t>
      </w:r>
    </w:p>
    <w:p w14:paraId="5A01C9E8" w14:textId="6900D46D" w:rsidR="00EE44C3" w:rsidRPr="00DB0F27" w:rsidRDefault="00EE44C3">
      <w:pPr>
        <w:pStyle w:val="ListParagraph"/>
        <w:numPr>
          <w:ilvl w:val="0"/>
          <w:numId w:val="24"/>
        </w:numPr>
        <w:rPr>
          <w:szCs w:val="24"/>
        </w:rPr>
      </w:pPr>
      <w:r w:rsidRPr="00DB0F27">
        <w:rPr>
          <w:szCs w:val="24"/>
        </w:rPr>
        <w:t xml:space="preserve">A Lübbe, A ‘Systemic Flaws’ and Dublin Transfers: Incompatible Tests before the CJEU and the ECtHR?. (2015) 27:1 </w:t>
      </w:r>
      <w:r w:rsidRPr="00DB0F27">
        <w:rPr>
          <w:i/>
          <w:szCs w:val="24"/>
        </w:rPr>
        <w:t>International Journal of Refugee Law</w:t>
      </w:r>
      <w:r w:rsidRPr="00DB0F27">
        <w:rPr>
          <w:szCs w:val="24"/>
        </w:rPr>
        <w:t xml:space="preserve"> 135-140.</w:t>
      </w:r>
    </w:p>
    <w:p w14:paraId="54271563" w14:textId="77777777" w:rsidR="00D84532" w:rsidRPr="00C51FBC" w:rsidRDefault="00D84532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3730BC">
        <w:rPr>
          <w:rFonts w:cstheme="minorHAnsi"/>
        </w:rPr>
        <w:t xml:space="preserve">Joined Statement of the EU and Council of Europe on the EU Accession to the ECHR (2020) </w:t>
      </w:r>
      <w:hyperlink r:id="rId68" w:history="1">
        <w:r w:rsidRPr="003730BC">
          <w:rPr>
            <w:rStyle w:val="Hyperlink"/>
            <w:rFonts w:cstheme="minorHAnsi"/>
          </w:rPr>
          <w:t>https://ec.europa.eu/commission/presscorner/detail/en/STATEMENT_20_1748</w:t>
        </w:r>
      </w:hyperlink>
      <w:r w:rsidRPr="003730BC">
        <w:rPr>
          <w:rFonts w:cstheme="minorHAnsi"/>
        </w:rPr>
        <w:t xml:space="preserve"> </w:t>
      </w:r>
    </w:p>
    <w:p w14:paraId="10327BAD" w14:textId="77777777" w:rsidR="00361AB0" w:rsidRPr="00361AB0" w:rsidRDefault="00361AB0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361AB0">
        <w:rPr>
          <w:rFonts w:cstheme="minorHAnsi"/>
        </w:rPr>
        <w:t xml:space="preserve">LR Glas  and J Krommendijk. "From Opinion 2/13 to Avotiņš: recent developments in the relationship between the Luxembourg and Strasbourg Courts." (2017) 17:3 </w:t>
      </w:r>
      <w:r w:rsidRPr="00F30860">
        <w:rPr>
          <w:rFonts w:cstheme="minorHAnsi"/>
          <w:i/>
        </w:rPr>
        <w:t xml:space="preserve">Human Rights Law Review </w:t>
      </w:r>
      <w:r w:rsidRPr="00361AB0">
        <w:rPr>
          <w:rFonts w:cstheme="minorHAnsi"/>
        </w:rPr>
        <w:t>567-587.</w:t>
      </w:r>
    </w:p>
    <w:p w14:paraId="09BC15B1" w14:textId="77777777" w:rsidR="00B31AC1" w:rsidRPr="00361AB0" w:rsidRDefault="00B31AC1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651CFF">
        <w:t>S Top and P De Hert. "Castaño avoids a clash between the ECtHR and the CJEU, but erodes Soering. Thinking human rights transnationally." (2021) 12.1</w:t>
      </w:r>
      <w:r w:rsidRPr="00F30860">
        <w:rPr>
          <w:i/>
        </w:rPr>
        <w:t xml:space="preserve"> New Journal of European Criminal Law </w:t>
      </w:r>
      <w:r w:rsidRPr="00651CFF">
        <w:t>52-68.</w:t>
      </w:r>
    </w:p>
    <w:p w14:paraId="301D5A4E" w14:textId="6D0072DB" w:rsidR="00085DE1" w:rsidRPr="00DB59A7" w:rsidRDefault="00361AB0">
      <w:pPr>
        <w:pStyle w:val="ListParagraph"/>
        <w:numPr>
          <w:ilvl w:val="0"/>
          <w:numId w:val="24"/>
        </w:numPr>
        <w:rPr>
          <w:sz w:val="27"/>
          <w:szCs w:val="27"/>
        </w:rPr>
      </w:pPr>
      <w:r>
        <w:t>B. Dickson, ‘</w:t>
      </w:r>
      <w:r w:rsidR="00085DE1" w:rsidRPr="005776E0">
        <w:t xml:space="preserve">The EU Charter of Fundamental Rights in the case law of the European Court of Human Rights </w:t>
      </w:r>
      <w:r w:rsidRPr="00DB59A7">
        <w:rPr>
          <w:sz w:val="27"/>
          <w:szCs w:val="27"/>
        </w:rPr>
        <w:t xml:space="preserve">‘ </w:t>
      </w:r>
      <w:r w:rsidR="00B85829" w:rsidRPr="00DB59A7">
        <w:rPr>
          <w:sz w:val="27"/>
          <w:szCs w:val="27"/>
        </w:rPr>
        <w:t xml:space="preserve">(2015) 1 </w:t>
      </w:r>
      <w:r w:rsidR="00085DE1" w:rsidRPr="00DB59A7">
        <w:rPr>
          <w:rStyle w:val="cosearchdetaillevel1"/>
          <w:i/>
          <w:iCs/>
        </w:rPr>
        <w:t>European Human Rights Law Review</w:t>
      </w:r>
      <w:r w:rsidR="00B85829">
        <w:rPr>
          <w:rStyle w:val="cosearchdetaillevel1"/>
        </w:rPr>
        <w:t xml:space="preserve"> </w:t>
      </w:r>
      <w:r w:rsidR="00085DE1">
        <w:rPr>
          <w:rStyle w:val="cosearchdetaillevel1"/>
        </w:rPr>
        <w:t>27-40</w:t>
      </w:r>
      <w:r w:rsidR="00085DE1">
        <w:t xml:space="preserve"> </w:t>
      </w:r>
    </w:p>
    <w:p w14:paraId="1C4BF56A" w14:textId="7A89F401" w:rsidR="00085DE1" w:rsidRPr="000A1D98" w:rsidRDefault="005776E0">
      <w:pPr>
        <w:pStyle w:val="ListParagraph"/>
        <w:numPr>
          <w:ilvl w:val="0"/>
          <w:numId w:val="24"/>
        </w:numPr>
        <w:rPr>
          <w:sz w:val="27"/>
          <w:szCs w:val="27"/>
        </w:rPr>
      </w:pPr>
      <w:r>
        <w:rPr>
          <w:rStyle w:val="cosearchdetaillevel1"/>
        </w:rPr>
        <w:t>S</w:t>
      </w:r>
      <w:r w:rsidR="00385CBF">
        <w:rPr>
          <w:rStyle w:val="cosearchdetaillevel1"/>
        </w:rPr>
        <w:t xml:space="preserve">. </w:t>
      </w:r>
      <w:r>
        <w:rPr>
          <w:rStyle w:val="cosearchdetaillevel1"/>
        </w:rPr>
        <w:t>Atkins</w:t>
      </w:r>
      <w:r>
        <w:t xml:space="preserve"> </w:t>
      </w:r>
      <w:r w:rsidR="0008319D" w:rsidRPr="00D56405">
        <w:t xml:space="preserve">Between the CJEU and the ECtHR: human rights of asylum seekers and their reception conditions in Europe since Opinion 2/13 </w:t>
      </w:r>
      <w:r w:rsidR="00385CBF" w:rsidRPr="00DB59A7">
        <w:rPr>
          <w:sz w:val="27"/>
          <w:szCs w:val="27"/>
        </w:rPr>
        <w:t>(</w:t>
      </w:r>
      <w:r w:rsidR="00DB59A7" w:rsidRPr="00DB59A7">
        <w:rPr>
          <w:sz w:val="27"/>
          <w:szCs w:val="27"/>
        </w:rPr>
        <w:t xml:space="preserve">2020) 34(2) </w:t>
      </w:r>
      <w:r w:rsidR="0008319D" w:rsidRPr="00DB59A7">
        <w:rPr>
          <w:rStyle w:val="cosearchdetaillevel1"/>
          <w:i/>
          <w:iCs/>
        </w:rPr>
        <w:t>Immigration, Asylum and Nationality Law</w:t>
      </w:r>
      <w:r w:rsidR="0008319D">
        <w:rPr>
          <w:rStyle w:val="cosearchdetaillevel1"/>
        </w:rPr>
        <w:t xml:space="preserve"> 158-176</w:t>
      </w:r>
      <w:r w:rsidR="0008319D">
        <w:t xml:space="preserve"> </w:t>
      </w:r>
    </w:p>
    <w:p w14:paraId="256F5CB6" w14:textId="54CFC554" w:rsidR="006F52DB" w:rsidRPr="00917211" w:rsidRDefault="006F52DB" w:rsidP="00C61065">
      <w:pPr>
        <w:pStyle w:val="Heading3"/>
      </w:pPr>
      <w:r w:rsidRPr="00917211">
        <w:t>Core case</w:t>
      </w:r>
      <w:r w:rsidR="00C61065">
        <w:t xml:space="preserve"> reading [extract</w:t>
      </w:r>
      <w:r w:rsidR="0089469E">
        <w:t>s in core readings</w:t>
      </w:r>
      <w:r w:rsidR="00C61065">
        <w:t>]</w:t>
      </w:r>
    </w:p>
    <w:p w14:paraId="477405A8" w14:textId="77777777" w:rsidR="00D56405" w:rsidRPr="004511C2" w:rsidRDefault="00DF69F8">
      <w:pPr>
        <w:pStyle w:val="ListParagraph"/>
        <w:numPr>
          <w:ilvl w:val="0"/>
          <w:numId w:val="26"/>
        </w:numPr>
        <w:rPr>
          <w:rStyle w:val="markedcontent"/>
          <w:rFonts w:cs="Arial"/>
          <w:szCs w:val="24"/>
        </w:rPr>
      </w:pPr>
      <w:r w:rsidRPr="00EA0842">
        <w:rPr>
          <w:rStyle w:val="highlight"/>
          <w:rFonts w:cs="Arial"/>
          <w:i/>
          <w:iCs/>
          <w:szCs w:val="24"/>
        </w:rPr>
        <w:t>Matthew</w:t>
      </w:r>
      <w:r w:rsidRPr="00EA0842">
        <w:rPr>
          <w:rStyle w:val="markedcontent"/>
          <w:rFonts w:cs="Arial"/>
          <w:i/>
          <w:iCs/>
          <w:szCs w:val="24"/>
        </w:rPr>
        <w:t>s v. the United Kingdom</w:t>
      </w:r>
      <w:r w:rsidRPr="004511C2">
        <w:rPr>
          <w:rStyle w:val="markedcontent"/>
          <w:rFonts w:cs="Arial"/>
          <w:szCs w:val="24"/>
        </w:rPr>
        <w:t xml:space="preserve"> [GC], no. 24833/94, ECHR 1999-I</w:t>
      </w:r>
    </w:p>
    <w:p w14:paraId="01E625DD" w14:textId="77777777" w:rsidR="004511C2" w:rsidRPr="004511C2" w:rsidRDefault="004511C2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EA0842">
        <w:rPr>
          <w:rStyle w:val="highlight"/>
          <w:rFonts w:cs="Arial"/>
          <w:i/>
          <w:iCs/>
          <w:szCs w:val="24"/>
        </w:rPr>
        <w:t>Bosphorus</w:t>
      </w:r>
      <w:r w:rsidRPr="00EA0842">
        <w:rPr>
          <w:rStyle w:val="markedcontent"/>
          <w:rFonts w:cs="Arial"/>
          <w:i/>
          <w:iCs/>
          <w:szCs w:val="24"/>
        </w:rPr>
        <w:t xml:space="preserve"> Hava Yolları Turizm ve Ticaret Anonim Şirketi v. Ireland</w:t>
      </w:r>
      <w:r w:rsidRPr="004511C2">
        <w:rPr>
          <w:rStyle w:val="markedcontent"/>
          <w:rFonts w:cs="Arial"/>
          <w:szCs w:val="24"/>
        </w:rPr>
        <w:t xml:space="preserve"> [GC], no. 45036/98, ECHR 2005-VI</w:t>
      </w:r>
      <w:r w:rsidRPr="004511C2">
        <w:rPr>
          <w:rFonts w:cstheme="minorHAnsi"/>
          <w:szCs w:val="24"/>
        </w:rPr>
        <w:t xml:space="preserve"> </w:t>
      </w:r>
    </w:p>
    <w:p w14:paraId="5E3EA90E" w14:textId="2514C58B" w:rsidR="00C61065" w:rsidRPr="004511C2" w:rsidRDefault="006F52DB">
      <w:pPr>
        <w:pStyle w:val="ListParagraph"/>
        <w:numPr>
          <w:ilvl w:val="0"/>
          <w:numId w:val="26"/>
        </w:numPr>
        <w:rPr>
          <w:rStyle w:val="acopre"/>
          <w:rFonts w:cstheme="minorHAnsi"/>
          <w:szCs w:val="24"/>
        </w:rPr>
      </w:pPr>
      <w:r w:rsidRPr="004511C2">
        <w:rPr>
          <w:rFonts w:cstheme="minorHAnsi"/>
          <w:szCs w:val="24"/>
        </w:rPr>
        <w:t xml:space="preserve">Opinion 2/13 </w:t>
      </w:r>
      <w:r w:rsidRPr="004511C2">
        <w:rPr>
          <w:rStyle w:val="acopre"/>
          <w:rFonts w:cstheme="minorHAnsi"/>
          <w:szCs w:val="24"/>
        </w:rPr>
        <w:t>EU:C:2014:2475</w:t>
      </w:r>
    </w:p>
    <w:p w14:paraId="493DE27E" w14:textId="77777777" w:rsidR="004511C2" w:rsidRDefault="004511C2" w:rsidP="007F1617"/>
    <w:p w14:paraId="54566A76" w14:textId="2A9BEB14" w:rsidR="00307C0D" w:rsidRPr="00075FE6" w:rsidRDefault="004511C2" w:rsidP="00075FE6">
      <w:pPr>
        <w:rPr>
          <w:rStyle w:val="highlight"/>
          <w:rFonts w:cs="Arial"/>
          <w:szCs w:val="24"/>
        </w:rPr>
      </w:pPr>
      <w:r w:rsidRPr="004511C2">
        <w:rPr>
          <w:rStyle w:val="Heading3Char"/>
        </w:rPr>
        <w:t>Presentation cases</w:t>
      </w:r>
    </w:p>
    <w:p w14:paraId="25FD26FF" w14:textId="58320B7C" w:rsidR="00EA0842" w:rsidRPr="00D47314" w:rsidRDefault="0062192F">
      <w:pPr>
        <w:pStyle w:val="ListParagraph"/>
        <w:numPr>
          <w:ilvl w:val="0"/>
          <w:numId w:val="26"/>
        </w:numPr>
        <w:rPr>
          <w:rStyle w:val="markedcontent"/>
          <w:rFonts w:cs="Arial"/>
          <w:szCs w:val="24"/>
          <w:lang w:val="de-AT"/>
        </w:rPr>
      </w:pPr>
      <w:r w:rsidRPr="00D47314">
        <w:rPr>
          <w:rStyle w:val="highlight"/>
          <w:rFonts w:cs="Arial"/>
          <w:szCs w:val="24"/>
          <w:lang w:val="de-AT"/>
        </w:rPr>
        <w:t>ECtHR</w:t>
      </w:r>
      <w:r w:rsidRPr="00D47314">
        <w:rPr>
          <w:rStyle w:val="highlight"/>
          <w:rFonts w:cs="Arial"/>
          <w:i/>
          <w:iCs/>
          <w:szCs w:val="24"/>
          <w:lang w:val="de-AT"/>
        </w:rPr>
        <w:t xml:space="preserve"> </w:t>
      </w:r>
      <w:r w:rsidR="00EA0842" w:rsidRPr="00D47314">
        <w:rPr>
          <w:rStyle w:val="highlight"/>
          <w:rFonts w:cs="Arial"/>
          <w:i/>
          <w:iCs/>
          <w:szCs w:val="24"/>
          <w:lang w:val="de-AT"/>
        </w:rPr>
        <w:t>Tarakh</w:t>
      </w:r>
      <w:r w:rsidR="00EA0842" w:rsidRPr="00D47314">
        <w:rPr>
          <w:rStyle w:val="markedcontent"/>
          <w:rFonts w:cs="Arial"/>
          <w:i/>
          <w:iCs/>
          <w:szCs w:val="24"/>
          <w:lang w:val="de-AT"/>
        </w:rPr>
        <w:t>el v. Switzerland</w:t>
      </w:r>
      <w:r w:rsidR="00EA0842" w:rsidRPr="00D47314">
        <w:rPr>
          <w:rStyle w:val="markedcontent"/>
          <w:rFonts w:cs="Arial"/>
          <w:szCs w:val="24"/>
          <w:lang w:val="de-AT"/>
        </w:rPr>
        <w:t xml:space="preserve"> [GC], </w:t>
      </w:r>
      <w:r w:rsidR="00F97DC7">
        <w:rPr>
          <w:rStyle w:val="markedcontent"/>
          <w:rFonts w:cs="Arial"/>
          <w:szCs w:val="24"/>
          <w:lang w:val="de-AT"/>
        </w:rPr>
        <w:t xml:space="preserve">Appl. </w:t>
      </w:r>
      <w:r w:rsidR="00EA0842" w:rsidRPr="00D47314">
        <w:rPr>
          <w:rStyle w:val="markedcontent"/>
          <w:rFonts w:cs="Arial"/>
          <w:szCs w:val="24"/>
          <w:lang w:val="de-AT"/>
        </w:rPr>
        <w:t>no. 29217/12, ECHR 2014</w:t>
      </w:r>
    </w:p>
    <w:p w14:paraId="4B4DE294" w14:textId="0F75F9E1" w:rsidR="00B359E9" w:rsidRPr="006F74E3" w:rsidRDefault="000446CE">
      <w:pPr>
        <w:pStyle w:val="ListParagraph"/>
        <w:numPr>
          <w:ilvl w:val="0"/>
          <w:numId w:val="26"/>
        </w:numPr>
        <w:rPr>
          <w:rFonts w:cstheme="minorHAnsi"/>
          <w:bCs/>
          <w:kern w:val="36"/>
        </w:rPr>
      </w:pPr>
      <w:r w:rsidRPr="006F74E3">
        <w:rPr>
          <w:rFonts w:cstheme="minorHAnsi"/>
          <w:bCs/>
          <w:kern w:val="36"/>
        </w:rPr>
        <w:t xml:space="preserve">ECtHR - </w:t>
      </w:r>
      <w:r w:rsidRPr="006F74E3">
        <w:rPr>
          <w:rFonts w:cstheme="minorHAnsi"/>
          <w:bCs/>
          <w:i/>
          <w:iCs/>
          <w:kern w:val="36"/>
        </w:rPr>
        <w:t>M.S.S. v Belgium and Greece</w:t>
      </w:r>
      <w:r w:rsidRPr="006F74E3">
        <w:rPr>
          <w:rFonts w:cstheme="minorHAnsi"/>
          <w:bCs/>
          <w:kern w:val="36"/>
        </w:rPr>
        <w:t xml:space="preserve"> [GC], Appl</w:t>
      </w:r>
      <w:r w:rsidR="00F97DC7">
        <w:rPr>
          <w:rFonts w:cstheme="minorHAnsi"/>
          <w:bCs/>
          <w:kern w:val="36"/>
        </w:rPr>
        <w:t>.</w:t>
      </w:r>
      <w:r w:rsidRPr="006F74E3">
        <w:rPr>
          <w:rFonts w:cstheme="minorHAnsi"/>
          <w:bCs/>
          <w:kern w:val="36"/>
        </w:rPr>
        <w:t xml:space="preserve"> No. 30696/09</w:t>
      </w:r>
    </w:p>
    <w:p w14:paraId="39F6609C" w14:textId="1C3958CC" w:rsidR="0062192F" w:rsidRPr="006F74E3" w:rsidRDefault="0062192F">
      <w:pPr>
        <w:pStyle w:val="ListParagraph"/>
        <w:numPr>
          <w:ilvl w:val="0"/>
          <w:numId w:val="26"/>
        </w:numPr>
        <w:rPr>
          <w:rFonts w:cstheme="minorHAnsi"/>
          <w:bCs/>
          <w:kern w:val="36"/>
        </w:rPr>
      </w:pPr>
      <w:r w:rsidRPr="006F74E3">
        <w:rPr>
          <w:rFonts w:cstheme="minorHAnsi"/>
          <w:bCs/>
          <w:kern w:val="36"/>
        </w:rPr>
        <w:lastRenderedPageBreak/>
        <w:t xml:space="preserve">ECtHR </w:t>
      </w:r>
      <w:r w:rsidR="00234A6D" w:rsidRPr="006F74E3">
        <w:rPr>
          <w:rFonts w:cs="Arial"/>
          <w:i/>
          <w:iCs/>
          <w:sz w:val="25"/>
          <w:szCs w:val="25"/>
        </w:rPr>
        <w:t>B and C v. Switzerland</w:t>
      </w:r>
      <w:r w:rsidR="003B148E" w:rsidRPr="006F74E3">
        <w:rPr>
          <w:rFonts w:cs="Arial"/>
          <w:i/>
          <w:iCs/>
          <w:sz w:val="25"/>
          <w:szCs w:val="25"/>
        </w:rPr>
        <w:t>,</w:t>
      </w:r>
      <w:r w:rsidR="003B148E" w:rsidRPr="006F74E3">
        <w:rPr>
          <w:rFonts w:cs="Arial"/>
          <w:sz w:val="25"/>
          <w:szCs w:val="25"/>
        </w:rPr>
        <w:t xml:space="preserve"> </w:t>
      </w:r>
      <w:r w:rsidR="003B148E" w:rsidRPr="008348BA">
        <w:rPr>
          <w:rStyle w:val="sbc73225d"/>
        </w:rPr>
        <w:t>App</w:t>
      </w:r>
      <w:r w:rsidR="00F97DC7">
        <w:rPr>
          <w:rStyle w:val="sbc73225d"/>
        </w:rPr>
        <w:t>l.</w:t>
      </w:r>
      <w:r w:rsidR="003B148E" w:rsidRPr="008348BA">
        <w:rPr>
          <w:rStyle w:val="sbc73225d"/>
        </w:rPr>
        <w:t xml:space="preserve"> nos. </w:t>
      </w:r>
      <w:hyperlink r:id="rId69" w:anchor="{&quot;appno&quot;:[&quot;889/19&quot;]}" w:tgtFrame="_blank" w:history="1">
        <w:r w:rsidR="003B148E" w:rsidRPr="008348BA">
          <w:rPr>
            <w:rStyle w:val="Hyperlink"/>
          </w:rPr>
          <w:t>889/19</w:t>
        </w:r>
      </w:hyperlink>
      <w:r w:rsidR="003B148E" w:rsidRPr="008348BA">
        <w:rPr>
          <w:rStyle w:val="sbc73225d"/>
        </w:rPr>
        <w:t xml:space="preserve"> and </w:t>
      </w:r>
      <w:hyperlink r:id="rId70" w:anchor="{&quot;appno&quot;:[&quot;43987/16&quot;]}" w:tgtFrame="_blank" w:history="1">
        <w:r w:rsidR="003B148E" w:rsidRPr="008348BA">
          <w:rPr>
            <w:rStyle w:val="Hyperlink"/>
          </w:rPr>
          <w:t>43987/16</w:t>
        </w:r>
      </w:hyperlink>
      <w:r w:rsidR="00E97C2B" w:rsidRPr="008348BA">
        <w:rPr>
          <w:rStyle w:val="sbc73225d"/>
        </w:rPr>
        <w:t xml:space="preserve">, </w:t>
      </w:r>
      <w:r w:rsidR="008E4B6D" w:rsidRPr="008348BA">
        <w:rPr>
          <w:rStyle w:val="sbc73225d"/>
        </w:rPr>
        <w:t xml:space="preserve"> </w:t>
      </w:r>
      <w:r w:rsidR="00E97C2B" w:rsidRPr="008348BA">
        <w:t>CE:ECHR:2020:1117JUD000088919</w:t>
      </w:r>
      <w:r w:rsidRPr="006F74E3">
        <w:rPr>
          <w:rFonts w:cstheme="minorHAnsi"/>
          <w:bCs/>
          <w:kern w:val="36"/>
        </w:rPr>
        <w:t xml:space="preserve"> </w:t>
      </w:r>
    </w:p>
    <w:p w14:paraId="6B708686" w14:textId="36ED0AA8" w:rsidR="000B281B" w:rsidRPr="001B7553" w:rsidRDefault="0062192F">
      <w:pPr>
        <w:pStyle w:val="ListParagraph"/>
        <w:numPr>
          <w:ilvl w:val="0"/>
          <w:numId w:val="26"/>
        </w:numPr>
        <w:rPr>
          <w:rFonts w:cstheme="minorHAnsi"/>
          <w:bCs/>
          <w:kern w:val="36"/>
        </w:rPr>
      </w:pPr>
      <w:r w:rsidRPr="006F74E3">
        <w:rPr>
          <w:rFonts w:cstheme="minorHAnsi"/>
          <w:bCs/>
          <w:kern w:val="36"/>
        </w:rPr>
        <w:t xml:space="preserve">ECtHR </w:t>
      </w:r>
      <w:r w:rsidR="000B281B" w:rsidRPr="006F74E3">
        <w:rPr>
          <w:rFonts w:cs="Arial"/>
          <w:i/>
          <w:iCs/>
          <w:sz w:val="25"/>
          <w:szCs w:val="25"/>
        </w:rPr>
        <w:t>Napotnik v. Romania</w:t>
      </w:r>
      <w:r w:rsidR="008A6984" w:rsidRPr="006F74E3">
        <w:rPr>
          <w:rFonts w:cs="Arial"/>
          <w:i/>
          <w:iCs/>
          <w:sz w:val="25"/>
          <w:szCs w:val="25"/>
        </w:rPr>
        <w:t>,</w:t>
      </w:r>
      <w:r w:rsidR="008A6984" w:rsidRPr="006F74E3">
        <w:rPr>
          <w:rFonts w:cs="Arial"/>
          <w:sz w:val="25"/>
          <w:szCs w:val="25"/>
        </w:rPr>
        <w:t xml:space="preserve"> Application</w:t>
      </w:r>
      <w:r w:rsidR="000B281B" w:rsidRPr="006F74E3">
        <w:rPr>
          <w:rFonts w:cs="Arial"/>
          <w:sz w:val="25"/>
          <w:szCs w:val="25"/>
        </w:rPr>
        <w:t xml:space="preserve"> </w:t>
      </w:r>
      <w:r w:rsidR="008A6984" w:rsidRPr="008348BA">
        <w:t>33139/13, [2020] ECHR 747</w:t>
      </w:r>
      <w:r w:rsidR="00AB225B" w:rsidRPr="008348BA">
        <w:t xml:space="preserve">, CE:ECHR:2020:1020JUD003313913 </w:t>
      </w:r>
    </w:p>
    <w:p w14:paraId="3EBEA4AD" w14:textId="1D844783" w:rsidR="001B7553" w:rsidRPr="004313A9" w:rsidRDefault="00F97DC7">
      <w:pPr>
        <w:pStyle w:val="ListParagraph"/>
        <w:numPr>
          <w:ilvl w:val="0"/>
          <w:numId w:val="26"/>
        </w:numPr>
        <w:rPr>
          <w:rFonts w:cstheme="minorHAnsi"/>
          <w:bCs/>
          <w:kern w:val="36"/>
        </w:rPr>
      </w:pPr>
      <w:r>
        <w:t xml:space="preserve">ECtHR </w:t>
      </w:r>
      <w:r w:rsidR="001B7553" w:rsidRPr="00F97DC7">
        <w:rPr>
          <w:rStyle w:val="Emphasis"/>
        </w:rPr>
        <w:t>S.H. v. Malta</w:t>
      </w:r>
      <w:r w:rsidR="001B7553" w:rsidRPr="00F97DC7">
        <w:t>, Appl. No. 37241/21</w:t>
      </w:r>
    </w:p>
    <w:p w14:paraId="1ABDD421" w14:textId="4FF74A9D" w:rsidR="004313A9" w:rsidRPr="002F23E8" w:rsidRDefault="00F97DC7">
      <w:pPr>
        <w:pStyle w:val="ListParagraph"/>
        <w:numPr>
          <w:ilvl w:val="0"/>
          <w:numId w:val="26"/>
        </w:numPr>
        <w:rPr>
          <w:rFonts w:cstheme="minorHAnsi"/>
          <w:bCs/>
          <w:color w:val="AEAAAA" w:themeColor="background2" w:themeShade="BF"/>
          <w:kern w:val="36"/>
        </w:rPr>
      </w:pPr>
      <w:r w:rsidRPr="002F23E8">
        <w:rPr>
          <w:rStyle w:val="sbc73225d"/>
          <w:color w:val="AEAAAA" w:themeColor="background2" w:themeShade="BF"/>
        </w:rPr>
        <w:t>ECtHR</w:t>
      </w:r>
      <w:r w:rsidRPr="002F23E8">
        <w:rPr>
          <w:rStyle w:val="sbc73225d"/>
          <w:i/>
          <w:iCs/>
          <w:color w:val="AEAAAA" w:themeColor="background2" w:themeShade="BF"/>
        </w:rPr>
        <w:t xml:space="preserve"> </w:t>
      </w:r>
      <w:r w:rsidR="004313A9" w:rsidRPr="002F23E8">
        <w:rPr>
          <w:rStyle w:val="sbc73225d"/>
          <w:i/>
          <w:iCs/>
          <w:color w:val="AEAAAA" w:themeColor="background2" w:themeShade="BF"/>
        </w:rPr>
        <w:t>Spasov v Roumania</w:t>
      </w:r>
      <w:r w:rsidR="004313A9" w:rsidRPr="002F23E8">
        <w:rPr>
          <w:rStyle w:val="sbc73225d"/>
          <w:color w:val="AEAAAA" w:themeColor="background2" w:themeShade="BF"/>
        </w:rPr>
        <w:t xml:space="preserve"> </w:t>
      </w:r>
      <w:r w:rsidRPr="002F23E8">
        <w:rPr>
          <w:rStyle w:val="sbc73225d"/>
          <w:color w:val="AEAAAA" w:themeColor="background2" w:themeShade="BF"/>
        </w:rPr>
        <w:t xml:space="preserve">Appl. No </w:t>
      </w:r>
      <w:r w:rsidR="004313A9" w:rsidRPr="002F23E8">
        <w:rPr>
          <w:color w:val="AEAAAA" w:themeColor="background2" w:themeShade="BF"/>
        </w:rPr>
        <w:t>27122/14</w:t>
      </w:r>
      <w:r w:rsidR="00A86381" w:rsidRPr="002F23E8">
        <w:rPr>
          <w:rStyle w:val="sbc73225d"/>
          <w:color w:val="AEAAAA" w:themeColor="background2" w:themeShade="BF"/>
          <w:highlight w:val="yellow"/>
        </w:rPr>
        <w:t xml:space="preserve"> (only in French so far)</w:t>
      </w:r>
    </w:p>
    <w:p w14:paraId="70979664" w14:textId="45BB243A" w:rsidR="00081E05" w:rsidRPr="00C13723" w:rsidRDefault="00081E05" w:rsidP="00A93DB8">
      <w:pPr>
        <w:rPr>
          <w:rStyle w:val="acopre"/>
          <w:rFonts w:cstheme="minorHAnsi"/>
        </w:rPr>
      </w:pPr>
      <w:r>
        <w:br/>
      </w:r>
      <w:r>
        <w:rPr>
          <w:rFonts w:ascii="Arial" w:hAnsi="Arial" w:cs="Arial"/>
          <w:sz w:val="25"/>
          <w:szCs w:val="25"/>
        </w:rPr>
        <w:t>,</w:t>
      </w:r>
    </w:p>
    <w:p w14:paraId="42A5ACDF" w14:textId="46D4F6F9" w:rsidR="00F74521" w:rsidRDefault="00791D80" w:rsidP="00F74521">
      <w:pPr>
        <w:pStyle w:val="Heading2"/>
      </w:pPr>
      <w:r>
        <w:t xml:space="preserve">20-24 </w:t>
      </w:r>
      <w:r w:rsidR="003C7823">
        <w:t xml:space="preserve">EU human rights ‘bodies’ - </w:t>
      </w:r>
      <w:r>
        <w:t>Study visit to the EU fundamental rights agency</w:t>
      </w:r>
      <w:r w:rsidR="008D14A1">
        <w:t xml:space="preserve"> </w:t>
      </w:r>
    </w:p>
    <w:p w14:paraId="2AF14E1B" w14:textId="74B6A185" w:rsidR="003C7823" w:rsidRPr="005C393C" w:rsidRDefault="003C7823" w:rsidP="003C7823">
      <w:r>
        <w:t>EU legal scholarship is very focused on courts, and the CJEU in particular. Other EU institutions and bodies however play a</w:t>
      </w:r>
      <w:r w:rsidR="00F83CDC">
        <w:t xml:space="preserve">n important </w:t>
      </w:r>
      <w:r>
        <w:t xml:space="preserve">part in </w:t>
      </w:r>
      <w:r w:rsidR="00F83CDC">
        <w:t xml:space="preserve">promoting, protecting and </w:t>
      </w:r>
      <w:r>
        <w:t xml:space="preserve">upholding EU human rights norms. This is not only true of the European Parliament or the European Commission; there are </w:t>
      </w:r>
      <w:r w:rsidR="00CF413C">
        <w:t xml:space="preserve">many </w:t>
      </w:r>
      <w:r>
        <w:t xml:space="preserve">bodies which carry more ‘discrete’ human rights work which contribute to shape the EU, and </w:t>
      </w:r>
      <w:r w:rsidR="00CF413C">
        <w:t xml:space="preserve">more broadly, </w:t>
      </w:r>
      <w:r>
        <w:t xml:space="preserve">European, </w:t>
      </w:r>
      <w:r w:rsidR="00596CB8">
        <w:t xml:space="preserve">fundamental </w:t>
      </w:r>
      <w:r>
        <w:t xml:space="preserve">human rights frameworks and support their implementation, such as the EU Fundamental Rights Agency (based in Vienna), the European Ombudsman, the European Data Protection Supervisor, etc. </w:t>
      </w:r>
      <w:r w:rsidR="00596CB8">
        <w:t>Moreover, v</w:t>
      </w:r>
      <w:r>
        <w:t xml:space="preserve">arious national human rights bodies (eg Ombudsperson, data protection authorities, equal opportunity bodies, human rights commissions, etc) also play a significant role; and of course, civil society organizations </w:t>
      </w:r>
      <w:r w:rsidR="00596CB8">
        <w:t>have an</w:t>
      </w:r>
      <w:r>
        <w:t xml:space="preserve"> essential in both promoting stricter human rights standards</w:t>
      </w:r>
      <w:r w:rsidR="00915562">
        <w:t xml:space="preserve">, exposing </w:t>
      </w:r>
      <w:r>
        <w:t>violations by EU, national and private (corporate) actors</w:t>
      </w:r>
      <w:r w:rsidR="00915562">
        <w:t>, and take preventative action</w:t>
      </w:r>
      <w:r>
        <w:t xml:space="preserve">. Space precludes dedicating a session on this, but they have been instrumental in the development of EU anti-discrimination law, data protection law, refugee law, etc In this </w:t>
      </w:r>
      <w:r w:rsidR="00755AE8">
        <w:t>last session,</w:t>
      </w:r>
      <w:r>
        <w:t xml:space="preserve"> we will focus on the role of the FRA (with </w:t>
      </w:r>
      <w:r w:rsidR="00755AE8">
        <w:t>a study visit</w:t>
      </w:r>
      <w:r>
        <w:t xml:space="preserve"> visit</w:t>
      </w:r>
      <w:r w:rsidR="00755AE8">
        <w:t>)</w:t>
      </w:r>
      <w:r>
        <w:t xml:space="preserve"> and </w:t>
      </w:r>
      <w:r w:rsidR="00755AE8">
        <w:t xml:space="preserve">that </w:t>
      </w:r>
      <w:r>
        <w:t>of the European Ombuds(wo)man.</w:t>
      </w:r>
    </w:p>
    <w:p w14:paraId="064E2D31" w14:textId="77777777" w:rsidR="003C7823" w:rsidRPr="00651CFF" w:rsidRDefault="003C7823" w:rsidP="003C7823">
      <w:pPr>
        <w:pStyle w:val="Heading3"/>
      </w:pPr>
      <w:r w:rsidRPr="00651CFF">
        <w:t>Mandatory reading</w:t>
      </w:r>
    </w:p>
    <w:p w14:paraId="002859F1" w14:textId="77777777" w:rsidR="003C7823" w:rsidRPr="005837D9" w:rsidRDefault="003C7823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651CFF">
        <w:rPr>
          <w:rFonts w:cs="Calibri"/>
        </w:rPr>
        <w:t xml:space="preserve">GN Toggenburg, and J Grimheden, J. (2016). </w:t>
      </w:r>
      <w:r>
        <w:rPr>
          <w:rFonts w:cs="Calibri"/>
        </w:rPr>
        <w:t>‘</w:t>
      </w:r>
      <w:r w:rsidRPr="00651CFF">
        <w:rPr>
          <w:rFonts w:cs="Calibri"/>
        </w:rPr>
        <w:t xml:space="preserve">Upholding Shared Values in the EU: What Role for the EU Agency for Fundamental Rights?. (2016) 54(5) </w:t>
      </w:r>
      <w:r w:rsidRPr="00651CFF">
        <w:rPr>
          <w:rFonts w:cs="Calibri"/>
          <w:i/>
          <w:iCs/>
        </w:rPr>
        <w:t>JCMS: Journal of Common Market Studies</w:t>
      </w:r>
      <w:r w:rsidRPr="00651CFF">
        <w:rPr>
          <w:rFonts w:cs="Calibri"/>
        </w:rPr>
        <w:t xml:space="preserve"> 1093-1104 </w:t>
      </w:r>
      <w:r>
        <w:rPr>
          <w:rFonts w:cs="Calibri"/>
        </w:rPr>
        <w:t>[10p]</w:t>
      </w:r>
    </w:p>
    <w:p w14:paraId="7B92358F" w14:textId="2107BD3C" w:rsidR="00CA06CE" w:rsidRPr="00CA06CE" w:rsidRDefault="003C7823" w:rsidP="00436A27">
      <w:pPr>
        <w:pStyle w:val="ListParagraph"/>
        <w:numPr>
          <w:ilvl w:val="0"/>
          <w:numId w:val="9"/>
        </w:numPr>
        <w:spacing w:line="240" w:lineRule="auto"/>
        <w:rPr>
          <w:b/>
          <w:szCs w:val="24"/>
        </w:rPr>
      </w:pPr>
      <w:r w:rsidRPr="00E664C9">
        <w:rPr>
          <w:rFonts w:cs="Calibri"/>
        </w:rPr>
        <w:t>Consult the European Ombud[wo]man’s annual report (</w:t>
      </w:r>
      <w:r w:rsidR="00E664C9" w:rsidRPr="00E664C9">
        <w:rPr>
          <w:rFonts w:cs="Calibri"/>
        </w:rPr>
        <w:t>2021)</w:t>
      </w:r>
      <w:r w:rsidRPr="00E664C9">
        <w:rPr>
          <w:rFonts w:cs="Calibri"/>
        </w:rPr>
        <w:t xml:space="preserve"> and read </w:t>
      </w:r>
      <w:r w:rsidRPr="00E664C9">
        <w:rPr>
          <w:rFonts w:cs="Calibri"/>
          <w:highlight w:val="yellow"/>
        </w:rPr>
        <w:t>section 2.3</w:t>
      </w:r>
      <w:r w:rsidRPr="00E664C9">
        <w:rPr>
          <w:rFonts w:cs="Calibri"/>
        </w:rPr>
        <w:t xml:space="preserve">: </w:t>
      </w:r>
      <w:hyperlink r:id="rId71" w:history="1">
        <w:r w:rsidR="00CA06CE" w:rsidRPr="007B5034">
          <w:rPr>
            <w:rStyle w:val="Hyperlink"/>
          </w:rPr>
          <w:t>https://www.ombudsman.europa.eu/en/doc/annual-report/en/156017</w:t>
        </w:r>
        <w:r w:rsidR="00CA06CE" w:rsidRPr="007B5034">
          <w:rPr>
            <w:rStyle w:val="Hyperlink"/>
            <w:szCs w:val="24"/>
          </w:rPr>
          <w:t>FRA</w:t>
        </w:r>
      </w:hyperlink>
      <w:r w:rsidRPr="00E664C9">
        <w:rPr>
          <w:szCs w:val="24"/>
        </w:rPr>
        <w:t xml:space="preserve"> </w:t>
      </w:r>
    </w:p>
    <w:p w14:paraId="09979EB7" w14:textId="3FDDC80F" w:rsidR="003C7823" w:rsidRPr="00E664C9" w:rsidRDefault="003C7823" w:rsidP="00436A27">
      <w:pPr>
        <w:pStyle w:val="ListParagraph"/>
        <w:numPr>
          <w:ilvl w:val="0"/>
          <w:numId w:val="9"/>
        </w:numPr>
        <w:spacing w:line="240" w:lineRule="auto"/>
        <w:rPr>
          <w:b/>
          <w:szCs w:val="24"/>
        </w:rPr>
      </w:pPr>
      <w:r w:rsidRPr="00E664C9">
        <w:rPr>
          <w:szCs w:val="24"/>
        </w:rPr>
        <w:t>Annual Fundamental Rights Report (202</w:t>
      </w:r>
      <w:r w:rsidR="0017550B" w:rsidRPr="00E664C9">
        <w:rPr>
          <w:szCs w:val="24"/>
        </w:rPr>
        <w:t>2</w:t>
      </w:r>
      <w:r w:rsidRPr="00E664C9">
        <w:rPr>
          <w:szCs w:val="24"/>
        </w:rPr>
        <w:t xml:space="preserve">) </w:t>
      </w:r>
      <w:r w:rsidR="0017550B" w:rsidRPr="0017550B">
        <w:t>https://fra.europa.eu/en/publication/2022/fundamental-rights-report-2022</w:t>
      </w:r>
      <w:r w:rsidRPr="00E664C9">
        <w:rPr>
          <w:szCs w:val="24"/>
        </w:rPr>
        <w:t xml:space="preserve">  (</w:t>
      </w:r>
      <w:r w:rsidR="001E6BA3">
        <w:rPr>
          <w:szCs w:val="24"/>
        </w:rPr>
        <w:t>read 2-3 FRA opinions – there is one in each section)</w:t>
      </w:r>
    </w:p>
    <w:p w14:paraId="18B07B65" w14:textId="77777777" w:rsidR="003C7823" w:rsidRPr="00651CFF" w:rsidRDefault="003C7823" w:rsidP="003C7823">
      <w:pPr>
        <w:pStyle w:val="Heading3"/>
        <w:rPr>
          <w:rFonts w:cstheme="minorHAnsi"/>
        </w:rPr>
      </w:pPr>
      <w:r>
        <w:t>Further reading</w:t>
      </w:r>
    </w:p>
    <w:p w14:paraId="457A8BE9" w14:textId="77777777" w:rsidR="003C7823" w:rsidRDefault="003C7823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651CFF">
        <w:rPr>
          <w:rFonts w:cstheme="minorHAnsi"/>
        </w:rPr>
        <w:t xml:space="preserve">M. Thiel, ‘European civil society and the EU fundamental rights agency: creating legitimacy through civil society inclusion?’ (2014) 36(5) </w:t>
      </w:r>
      <w:r w:rsidRPr="00651CFF">
        <w:rPr>
          <w:rFonts w:cstheme="minorHAnsi"/>
          <w:i/>
          <w:iCs/>
        </w:rPr>
        <w:t>Journal of European Integration</w:t>
      </w:r>
      <w:r w:rsidRPr="00651CFF">
        <w:rPr>
          <w:rFonts w:cstheme="minorHAnsi"/>
        </w:rPr>
        <w:t xml:space="preserve">, </w:t>
      </w:r>
      <w:r w:rsidRPr="00651CFF">
        <w:rPr>
          <w:rFonts w:cstheme="minorHAnsi"/>
          <w:i/>
          <w:iCs/>
        </w:rPr>
        <w:t>36</w:t>
      </w:r>
      <w:r w:rsidRPr="00651CFF">
        <w:rPr>
          <w:rFonts w:cstheme="minorHAnsi"/>
        </w:rPr>
        <w:t>(5), 435-451.</w:t>
      </w:r>
    </w:p>
    <w:p w14:paraId="4E2E14CB" w14:textId="49C19C2C" w:rsidR="003C7823" w:rsidRPr="00A475AF" w:rsidRDefault="003C7823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FRA’s last quarterly bulletin of 2021 – key concerns regarding mistreatment of migrants’ (Eulawlive: </w:t>
      </w:r>
      <w:hyperlink r:id="rId72" w:history="1">
        <w:r w:rsidRPr="00210403">
          <w:rPr>
            <w:rStyle w:val="Hyperlink"/>
            <w:rFonts w:cstheme="minorHAnsi"/>
          </w:rPr>
          <w:t>https://eulawlive.com/fras-last-quarterly-bulletin-of-2021-key-concerns-regarding-mistreatment-of-migrants/</w:t>
        </w:r>
      </w:hyperlink>
      <w:r>
        <w:rPr>
          <w:rStyle w:val="Hyperlink"/>
          <w:rFonts w:cstheme="minorHAnsi"/>
        </w:rPr>
        <w:t>)</w:t>
      </w:r>
      <w:r w:rsidRPr="00A475AF">
        <w:rPr>
          <w:rFonts w:cstheme="minorHAnsi"/>
        </w:rPr>
        <w:t xml:space="preserve"> </w:t>
      </w:r>
    </w:p>
    <w:p w14:paraId="58E09FB0" w14:textId="77777777" w:rsidR="003C7823" w:rsidRPr="000C340C" w:rsidRDefault="003C7823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‘European data protection supervisor report Pegasus spyware raises serious data privacy and protection concerns’ </w:t>
      </w:r>
      <w:hyperlink r:id="rId73" w:history="1">
        <w:r w:rsidRPr="00210403">
          <w:rPr>
            <w:rStyle w:val="Hyperlink"/>
            <w:rFonts w:cstheme="minorHAnsi"/>
          </w:rPr>
          <w:t>https://eulawlive.com/european-data-protection-supervisor-report-pegasus-spyware-raises-serious-data-privacy-and-protection-concerns/</w:t>
        </w:r>
      </w:hyperlink>
    </w:p>
    <w:p w14:paraId="3C5B0B03" w14:textId="159F8B4D" w:rsidR="003C7823" w:rsidRDefault="003C7823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lastRenderedPageBreak/>
        <w:t>F</w:t>
      </w:r>
      <w:r w:rsidR="00A475AF">
        <w:t>RA</w:t>
      </w:r>
      <w:r>
        <w:t xml:space="preserve"> launches human rights cities in the EU framework: </w:t>
      </w:r>
      <w:hyperlink r:id="rId74" w:history="1">
        <w:r w:rsidRPr="00210403">
          <w:rPr>
            <w:rStyle w:val="Hyperlink"/>
            <w:rFonts w:cstheme="minorHAnsi"/>
          </w:rPr>
          <w:t>https://eulawlive.com/fra-launches-human-rights-cities-in-the-eu-framework/</w:t>
        </w:r>
      </w:hyperlink>
    </w:p>
    <w:p w14:paraId="0BC25765" w14:textId="77777777" w:rsidR="003C7823" w:rsidRDefault="003C7823" w:rsidP="003C7823">
      <w:pPr>
        <w:spacing w:line="240" w:lineRule="auto"/>
        <w:rPr>
          <w:rFonts w:cs="Calibri"/>
          <w:b/>
          <w:bCs/>
          <w:iCs/>
        </w:rPr>
      </w:pPr>
    </w:p>
    <w:p w14:paraId="399F8759" w14:textId="77777777" w:rsidR="003C7823" w:rsidRPr="006D16F4" w:rsidRDefault="003C7823" w:rsidP="003C7823">
      <w:pPr>
        <w:rPr>
          <w:rFonts w:cs="Cambria"/>
          <w:color w:val="000000"/>
        </w:rPr>
      </w:pPr>
    </w:p>
    <w:p w14:paraId="593F05FA" w14:textId="77777777" w:rsidR="00E167B6" w:rsidRDefault="00E167B6" w:rsidP="00E42D27">
      <w:pPr>
        <w:spacing w:line="240" w:lineRule="auto"/>
        <w:rPr>
          <w:rFonts w:cs="Calibri"/>
          <w:i/>
        </w:rPr>
      </w:pPr>
    </w:p>
    <w:p w14:paraId="4A1540DF" w14:textId="741809DB" w:rsidR="00E27C7E" w:rsidRPr="00651CFF" w:rsidRDefault="00E27C7E" w:rsidP="00163A3D">
      <w:pPr>
        <w:pStyle w:val="Heading1"/>
      </w:pPr>
      <w:bookmarkStart w:id="0" w:name="_ANNEX_1"/>
      <w:bookmarkEnd w:id="0"/>
      <w:r>
        <w:t>ANNEX 1</w:t>
      </w:r>
    </w:p>
    <w:p w14:paraId="57F56E60" w14:textId="18B8408E" w:rsidR="006C09CB" w:rsidRPr="00651CFF" w:rsidRDefault="00E42D27" w:rsidP="00E42D27">
      <w:pPr>
        <w:spacing w:line="240" w:lineRule="auto"/>
        <w:rPr>
          <w:rFonts w:cs="Calibri"/>
          <w:i/>
        </w:rPr>
      </w:pPr>
      <w:r w:rsidRPr="00651CFF">
        <w:rPr>
          <w:rFonts w:cs="Calibri"/>
          <w:i/>
        </w:rPr>
        <w:t>List of texts for class</w:t>
      </w:r>
      <w:r w:rsidR="004A19B8">
        <w:rPr>
          <w:rFonts w:cs="Calibri"/>
          <w:i/>
        </w:rPr>
        <w:t xml:space="preserve"> on the</w:t>
      </w:r>
      <w:r w:rsidRPr="00651CFF">
        <w:rPr>
          <w:rFonts w:cs="Calibri"/>
          <w:i/>
        </w:rPr>
        <w:t xml:space="preserve"> </w:t>
      </w:r>
      <w:r w:rsidR="00DE4BAA">
        <w:rPr>
          <w:rFonts w:cs="Calibri"/>
          <w:i/>
        </w:rPr>
        <w:t>‘conference style’</w:t>
      </w:r>
      <w:r w:rsidRPr="00651CFF">
        <w:rPr>
          <w:rFonts w:cs="Calibri"/>
          <w:i/>
        </w:rPr>
        <w:t xml:space="preserve"> presentation</w:t>
      </w:r>
    </w:p>
    <w:p w14:paraId="2FE83699" w14:textId="77777777" w:rsidR="000F39D2" w:rsidRPr="00DE4BAA" w:rsidRDefault="000F39D2" w:rsidP="00DE4BAA">
      <w:pPr>
        <w:spacing w:line="240" w:lineRule="auto"/>
        <w:rPr>
          <w:rFonts w:cstheme="minorHAnsi"/>
        </w:rPr>
      </w:pPr>
    </w:p>
    <w:p w14:paraId="1EE41476" w14:textId="36C689BB" w:rsidR="00BD0900" w:rsidRPr="003C7823" w:rsidRDefault="004333A2">
      <w:pPr>
        <w:pStyle w:val="ListParagraph"/>
        <w:numPr>
          <w:ilvl w:val="0"/>
          <w:numId w:val="27"/>
        </w:numPr>
        <w:spacing w:line="240" w:lineRule="auto"/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D. </w:t>
      </w:r>
      <w:r w:rsidR="00BD0900" w:rsidRPr="003C7823">
        <w:rPr>
          <w:rFonts w:cstheme="minorHAnsi"/>
          <w:sz w:val="22"/>
        </w:rPr>
        <w:t xml:space="preserve">Archibugi, </w:t>
      </w:r>
      <w:r>
        <w:rPr>
          <w:rFonts w:cstheme="minorHAnsi"/>
          <w:sz w:val="22"/>
        </w:rPr>
        <w:t>M.</w:t>
      </w:r>
      <w:r w:rsidR="00BD0900" w:rsidRPr="003C7823">
        <w:rPr>
          <w:rFonts w:cstheme="minorHAnsi"/>
          <w:sz w:val="22"/>
        </w:rPr>
        <w:t xml:space="preserve"> Cellini, and M</w:t>
      </w:r>
      <w:r w:rsidR="00C56678">
        <w:rPr>
          <w:rFonts w:cstheme="minorHAnsi"/>
          <w:sz w:val="22"/>
        </w:rPr>
        <w:t>.</w:t>
      </w:r>
      <w:r w:rsidR="00BD0900" w:rsidRPr="003C7823">
        <w:rPr>
          <w:rFonts w:cstheme="minorHAnsi"/>
          <w:sz w:val="22"/>
        </w:rPr>
        <w:t xml:space="preserve"> Vitiello. </w:t>
      </w:r>
      <w:r w:rsidR="00C56678">
        <w:rPr>
          <w:rFonts w:cstheme="minorHAnsi"/>
          <w:sz w:val="22"/>
        </w:rPr>
        <w:t>‘</w:t>
      </w:r>
      <w:r w:rsidR="00BD0900" w:rsidRPr="003C7823">
        <w:rPr>
          <w:rFonts w:cstheme="minorHAnsi"/>
          <w:sz w:val="22"/>
        </w:rPr>
        <w:t>Refugees in the European Union: from emergency alarmism to common management.</w:t>
      </w:r>
      <w:r w:rsidR="00C56678">
        <w:rPr>
          <w:rFonts w:cstheme="minorHAnsi"/>
          <w:sz w:val="22"/>
        </w:rPr>
        <w:t xml:space="preserve"> (2002) 30.3</w:t>
      </w:r>
      <w:r w:rsidR="00BD0900" w:rsidRPr="003C7823">
        <w:rPr>
          <w:rFonts w:cstheme="minorHAnsi"/>
          <w:sz w:val="22"/>
        </w:rPr>
        <w:t xml:space="preserve"> </w:t>
      </w:r>
      <w:r w:rsidR="00BD0900" w:rsidRPr="003C7823">
        <w:rPr>
          <w:rFonts w:cstheme="minorHAnsi"/>
          <w:i/>
          <w:iCs/>
          <w:sz w:val="22"/>
        </w:rPr>
        <w:t>Journal of Contemporary European Studies</w:t>
      </w:r>
      <w:r w:rsidR="00BD0900" w:rsidRPr="003C7823">
        <w:rPr>
          <w:rFonts w:cstheme="minorHAnsi"/>
          <w:sz w:val="22"/>
        </w:rPr>
        <w:t xml:space="preserve"> 487-505.</w:t>
      </w:r>
    </w:p>
    <w:p w14:paraId="4EFEFE2C" w14:textId="7EF5E06D" w:rsidR="00BD0900" w:rsidRPr="004333A2" w:rsidRDefault="000C6D39" w:rsidP="004333A2">
      <w:pPr>
        <w:pStyle w:val="ListParagraph"/>
        <w:numPr>
          <w:ilvl w:val="0"/>
          <w:numId w:val="27"/>
        </w:numPr>
        <w:spacing w:line="240" w:lineRule="auto"/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Z. </w:t>
      </w:r>
      <w:r w:rsidR="00D670F2" w:rsidRPr="003C7823">
        <w:rPr>
          <w:rFonts w:cstheme="minorHAnsi"/>
          <w:sz w:val="22"/>
        </w:rPr>
        <w:t>Arynov,</w:t>
      </w:r>
      <w:r w:rsidR="00FB4960">
        <w:rPr>
          <w:rFonts w:cstheme="minorHAnsi"/>
          <w:sz w:val="22"/>
        </w:rPr>
        <w:t>.</w:t>
      </w:r>
      <w:r w:rsidR="00D670F2" w:rsidRPr="003C7823">
        <w:rPr>
          <w:rFonts w:cstheme="minorHAnsi"/>
          <w:sz w:val="22"/>
        </w:rPr>
        <w:t xml:space="preserve"> </w:t>
      </w:r>
      <w:r w:rsidR="00FB4960">
        <w:rPr>
          <w:rFonts w:cstheme="minorHAnsi"/>
          <w:sz w:val="22"/>
        </w:rPr>
        <w:t>‘”</w:t>
      </w:r>
      <w:r w:rsidR="00D670F2" w:rsidRPr="003C7823">
        <w:rPr>
          <w:rFonts w:cstheme="minorHAnsi"/>
          <w:sz w:val="22"/>
        </w:rPr>
        <w:t>Nobody Goes to Another Monastery with their Own Charter’</w:t>
      </w:r>
      <w:r w:rsidR="00FB4960">
        <w:rPr>
          <w:rFonts w:cstheme="minorHAnsi"/>
          <w:sz w:val="22"/>
        </w:rPr>
        <w:t>”</w:t>
      </w:r>
      <w:r w:rsidR="00D670F2" w:rsidRPr="003C7823">
        <w:rPr>
          <w:rFonts w:cstheme="minorHAnsi"/>
          <w:sz w:val="22"/>
        </w:rPr>
        <w:t xml:space="preserve"> The EU’s Promotion of </w:t>
      </w:r>
      <w:r w:rsidR="00FB4960">
        <w:rPr>
          <w:rFonts w:cstheme="minorHAnsi"/>
          <w:sz w:val="22"/>
        </w:rPr>
        <w:t>“</w:t>
      </w:r>
      <w:r w:rsidR="00D670F2" w:rsidRPr="003C7823">
        <w:rPr>
          <w:rFonts w:cstheme="minorHAnsi"/>
          <w:sz w:val="22"/>
        </w:rPr>
        <w:t>European Values</w:t>
      </w:r>
      <w:r w:rsidR="00FB4960">
        <w:rPr>
          <w:rFonts w:cstheme="minorHAnsi"/>
          <w:sz w:val="22"/>
        </w:rPr>
        <w:t xml:space="preserve">” </w:t>
      </w:r>
      <w:r w:rsidR="00D670F2" w:rsidRPr="003C7823">
        <w:rPr>
          <w:rFonts w:cstheme="minorHAnsi"/>
          <w:sz w:val="22"/>
        </w:rPr>
        <w:t>as Perceived in Central Asia</w:t>
      </w:r>
      <w:r w:rsidR="00CD55C8">
        <w:rPr>
          <w:rFonts w:cstheme="minorHAnsi"/>
          <w:sz w:val="22"/>
        </w:rPr>
        <w:t>’ (2022) 74.6</w:t>
      </w:r>
      <w:r w:rsidR="00D670F2" w:rsidRPr="003C7823">
        <w:rPr>
          <w:rFonts w:cstheme="minorHAnsi"/>
          <w:sz w:val="22"/>
        </w:rPr>
        <w:t xml:space="preserve"> </w:t>
      </w:r>
      <w:r w:rsidR="00D670F2" w:rsidRPr="003C7823">
        <w:rPr>
          <w:rFonts w:cstheme="minorHAnsi"/>
          <w:i/>
          <w:iCs/>
          <w:sz w:val="22"/>
        </w:rPr>
        <w:t>Europe-Asia Studies</w:t>
      </w:r>
      <w:r w:rsidR="00D670F2" w:rsidRPr="003C7823">
        <w:rPr>
          <w:rFonts w:cstheme="minorHAnsi"/>
          <w:sz w:val="22"/>
        </w:rPr>
        <w:t xml:space="preserve"> 1028-1050.</w:t>
      </w:r>
    </w:p>
    <w:p w14:paraId="5470D60C" w14:textId="60DC0945" w:rsidR="006C09CB" w:rsidRPr="00CD55C8" w:rsidRDefault="000C6D39" w:rsidP="00CD55C8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L. </w:t>
      </w:r>
      <w:r w:rsidR="006C09CB" w:rsidRPr="003C7823">
        <w:rPr>
          <w:rFonts w:cstheme="minorHAnsi"/>
          <w:sz w:val="22"/>
        </w:rPr>
        <w:t xml:space="preserve">Bartels, ‘Human Rights and Sustainable Development Obligations in EU Free Trade Agreements.’ (2013) 4:4 </w:t>
      </w:r>
      <w:r w:rsidR="006C09CB" w:rsidRPr="003C7823">
        <w:rPr>
          <w:rFonts w:cstheme="minorHAnsi"/>
          <w:i/>
          <w:iCs/>
          <w:sz w:val="22"/>
        </w:rPr>
        <w:t>Legal Issues Of Economic Integration</w:t>
      </w:r>
      <w:r w:rsidR="006C09CB" w:rsidRPr="003C7823">
        <w:rPr>
          <w:rFonts w:cstheme="minorHAnsi"/>
          <w:sz w:val="22"/>
        </w:rPr>
        <w:t>, 297-313.</w:t>
      </w:r>
      <w:r w:rsidR="00CD55C8">
        <w:rPr>
          <w:rFonts w:cstheme="minorHAnsi"/>
          <w:sz w:val="22"/>
        </w:rPr>
        <w:t xml:space="preserve"> </w:t>
      </w:r>
    </w:p>
    <w:p w14:paraId="07D06267" w14:textId="5A51C3CD" w:rsidR="006C09CB" w:rsidRPr="003C7823" w:rsidRDefault="000C6D39">
      <w:pPr>
        <w:pStyle w:val="ListParagraph"/>
        <w:numPr>
          <w:ilvl w:val="0"/>
          <w:numId w:val="27"/>
        </w:numPr>
        <w:rPr>
          <w:rStyle w:val="volume"/>
          <w:rFonts w:cstheme="minorHAnsi"/>
          <w:sz w:val="22"/>
        </w:rPr>
      </w:pPr>
      <w:r>
        <w:rPr>
          <w:rFonts w:cstheme="minorHAnsi"/>
          <w:sz w:val="22"/>
        </w:rPr>
        <w:t xml:space="preserve">K. </w:t>
      </w:r>
      <w:r w:rsidR="006C09CB" w:rsidRPr="003C7823">
        <w:rPr>
          <w:rFonts w:cstheme="minorHAnsi"/>
          <w:sz w:val="22"/>
        </w:rPr>
        <w:t xml:space="preserve">Bennett, ‘European Union Guidelines on Human Rights Defenders: a review of policy and practice towards effective implementation’ (2015) 19:7 </w:t>
      </w:r>
      <w:r w:rsidR="006C09CB" w:rsidRPr="003C7823">
        <w:rPr>
          <w:rFonts w:cstheme="minorHAnsi"/>
          <w:i/>
          <w:sz w:val="22"/>
        </w:rPr>
        <w:t>The International Journal of Human Rights</w:t>
      </w:r>
      <w:r w:rsidR="006C09CB" w:rsidRPr="003C7823">
        <w:rPr>
          <w:rFonts w:cstheme="minorHAnsi"/>
          <w:sz w:val="22"/>
        </w:rPr>
        <w:t xml:space="preserve"> </w:t>
      </w:r>
      <w:r w:rsidR="006C09CB" w:rsidRPr="003C7823">
        <w:rPr>
          <w:rStyle w:val="volume"/>
          <w:rFonts w:cstheme="minorHAnsi"/>
          <w:sz w:val="22"/>
        </w:rPr>
        <w:t>201</w:t>
      </w:r>
    </w:p>
    <w:p w14:paraId="605BCD4D" w14:textId="1D357B24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Style w:val="volume"/>
          <w:rFonts w:cstheme="minorHAnsi"/>
          <w:sz w:val="22"/>
        </w:rPr>
        <w:t xml:space="preserve">E. </w:t>
      </w:r>
      <w:r w:rsidR="006C09CB" w:rsidRPr="003C7823">
        <w:rPr>
          <w:rStyle w:val="volume"/>
          <w:rFonts w:cstheme="minorHAnsi"/>
          <w:sz w:val="22"/>
        </w:rPr>
        <w:t xml:space="preserve">Bindamm, ‘The EU’s strategy on economic and social rights in Russia: a missed opportunity’ (2013) 29:4 </w:t>
      </w:r>
      <w:r w:rsidR="006C09CB" w:rsidRPr="003C7823">
        <w:rPr>
          <w:rStyle w:val="volume"/>
          <w:rFonts w:cstheme="minorHAnsi"/>
          <w:i/>
          <w:sz w:val="22"/>
        </w:rPr>
        <w:t>East European Politics</w:t>
      </w:r>
      <w:r w:rsidR="006C09CB" w:rsidRPr="003C7823">
        <w:rPr>
          <w:rStyle w:val="volume"/>
          <w:rFonts w:cstheme="minorHAnsi"/>
          <w:sz w:val="22"/>
        </w:rPr>
        <w:t xml:space="preserve"> 461.</w:t>
      </w:r>
    </w:p>
    <w:p w14:paraId="3DF22D9E" w14:textId="4B915493" w:rsidR="007D79EB" w:rsidRPr="003C7823" w:rsidRDefault="000C6D39">
      <w:pPr>
        <w:pStyle w:val="ListParagraph"/>
        <w:numPr>
          <w:ilvl w:val="0"/>
          <w:numId w:val="27"/>
        </w:numPr>
        <w:spacing w:line="240" w:lineRule="auto"/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M. </w:t>
      </w:r>
      <w:r w:rsidR="007D79EB" w:rsidRPr="003C7823">
        <w:rPr>
          <w:rFonts w:cstheme="minorHAnsi"/>
          <w:sz w:val="22"/>
        </w:rPr>
        <w:t xml:space="preserve">Bodur Ün,  &amp; </w:t>
      </w:r>
      <w:r>
        <w:rPr>
          <w:rFonts w:cstheme="minorHAnsi"/>
          <w:sz w:val="22"/>
        </w:rPr>
        <w:t xml:space="preserve">H </w:t>
      </w:r>
      <w:r w:rsidR="007D79EB" w:rsidRPr="003C7823">
        <w:rPr>
          <w:rFonts w:cstheme="minorHAnsi"/>
          <w:sz w:val="22"/>
        </w:rPr>
        <w:t>Arıkan,. ‘Europeanization and De</w:t>
      </w:r>
      <w:r w:rsidR="007D79EB" w:rsidRPr="003C7823">
        <w:rPr>
          <w:rFonts w:ascii="Times New Roman" w:hAnsi="Times New Roman"/>
          <w:sz w:val="22"/>
        </w:rPr>
        <w:t>‐</w:t>
      </w:r>
      <w:r w:rsidR="007D79EB" w:rsidRPr="003C7823">
        <w:rPr>
          <w:rFonts w:cstheme="minorHAnsi"/>
          <w:sz w:val="22"/>
        </w:rPr>
        <w:t xml:space="preserve">Europeanization of Turkey's Gender Equality Policy: The Case of the Istanbul Convention’. (2021). </w:t>
      </w:r>
      <w:r w:rsidR="007D79EB" w:rsidRPr="003C7823">
        <w:rPr>
          <w:rFonts w:cstheme="minorHAnsi"/>
          <w:i/>
          <w:iCs/>
          <w:sz w:val="22"/>
        </w:rPr>
        <w:t>JCMS: Journal of Common Market Studies</w:t>
      </w:r>
      <w:r w:rsidR="007D79EB" w:rsidRPr="003C7823">
        <w:rPr>
          <w:rFonts w:cstheme="minorHAnsi"/>
          <w:sz w:val="22"/>
        </w:rPr>
        <w:t>.</w:t>
      </w:r>
    </w:p>
    <w:p w14:paraId="5E7C68C3" w14:textId="0467DDCF" w:rsidR="009E5573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I </w:t>
      </w:r>
      <w:r w:rsidR="009E5573" w:rsidRPr="003C7823">
        <w:rPr>
          <w:rFonts w:cstheme="minorHAnsi"/>
          <w:sz w:val="22"/>
        </w:rPr>
        <w:t xml:space="preserve">Borchert, </w:t>
      </w:r>
      <w:r>
        <w:rPr>
          <w:rFonts w:cstheme="minorHAnsi"/>
          <w:sz w:val="22"/>
        </w:rPr>
        <w:t>P</w:t>
      </w:r>
      <w:r w:rsidR="009E5573" w:rsidRPr="003C7823">
        <w:rPr>
          <w:rFonts w:cstheme="minorHAnsi"/>
          <w:sz w:val="22"/>
        </w:rPr>
        <w:t xml:space="preserve"> Conconi, P., </w:t>
      </w:r>
      <w:r>
        <w:rPr>
          <w:rFonts w:cstheme="minorHAnsi"/>
          <w:sz w:val="22"/>
        </w:rPr>
        <w:t xml:space="preserve">M. </w:t>
      </w:r>
      <w:r w:rsidR="009E5573" w:rsidRPr="003C7823">
        <w:rPr>
          <w:rFonts w:cstheme="minorHAnsi"/>
          <w:sz w:val="22"/>
        </w:rPr>
        <w:t xml:space="preserve">Di Ubaldo, </w:t>
      </w:r>
      <w:r>
        <w:rPr>
          <w:rFonts w:cstheme="minorHAnsi"/>
          <w:sz w:val="22"/>
        </w:rPr>
        <w:t>&amp; C.</w:t>
      </w:r>
      <w:r w:rsidR="009E5573" w:rsidRPr="003C7823">
        <w:rPr>
          <w:rFonts w:cstheme="minorHAnsi"/>
          <w:sz w:val="22"/>
        </w:rPr>
        <w:t xml:space="preserve"> Herghelegiu, C. </w:t>
      </w:r>
      <w:r w:rsidR="00543347" w:rsidRPr="003C7823">
        <w:rPr>
          <w:rFonts w:cstheme="minorHAnsi"/>
          <w:sz w:val="22"/>
        </w:rPr>
        <w:t>‘</w:t>
      </w:r>
      <w:r w:rsidR="009E5573" w:rsidRPr="003C7823">
        <w:rPr>
          <w:rFonts w:cstheme="minorHAnsi"/>
          <w:sz w:val="22"/>
        </w:rPr>
        <w:t>The pursuit of non-trade policy objectives in EU Trade Policy</w:t>
      </w:r>
      <w:r w:rsidR="00543347" w:rsidRPr="003C7823">
        <w:rPr>
          <w:rFonts w:cstheme="minorHAnsi"/>
          <w:sz w:val="22"/>
        </w:rPr>
        <w:t>’</w:t>
      </w:r>
      <w:r w:rsidR="009E5573" w:rsidRPr="003C7823">
        <w:rPr>
          <w:rFonts w:cstheme="minorHAnsi"/>
          <w:sz w:val="22"/>
        </w:rPr>
        <w:t xml:space="preserve">. </w:t>
      </w:r>
      <w:r w:rsidR="00543347" w:rsidRPr="003C7823">
        <w:rPr>
          <w:rFonts w:cstheme="minorHAnsi"/>
          <w:sz w:val="22"/>
        </w:rPr>
        <w:t xml:space="preserve">(2021) </w:t>
      </w:r>
      <w:r w:rsidR="00543347" w:rsidRPr="003C7823">
        <w:rPr>
          <w:rFonts w:cstheme="minorHAnsi"/>
          <w:i/>
          <w:iCs/>
          <w:sz w:val="22"/>
        </w:rPr>
        <w:t>20</w:t>
      </w:r>
      <w:r w:rsidR="00543347" w:rsidRPr="003C7823">
        <w:rPr>
          <w:rFonts w:cstheme="minorHAnsi"/>
          <w:sz w:val="22"/>
        </w:rPr>
        <w:t xml:space="preserve">(5), </w:t>
      </w:r>
      <w:r w:rsidR="009E5573" w:rsidRPr="003C7823">
        <w:rPr>
          <w:rFonts w:cstheme="minorHAnsi"/>
          <w:i/>
          <w:iCs/>
          <w:sz w:val="22"/>
        </w:rPr>
        <w:t>World Trade Review</w:t>
      </w:r>
      <w:r w:rsidR="009E5573" w:rsidRPr="003C7823">
        <w:rPr>
          <w:rFonts w:cstheme="minorHAnsi"/>
          <w:sz w:val="22"/>
        </w:rPr>
        <w:t>, 623-647.</w:t>
      </w:r>
    </w:p>
    <w:p w14:paraId="3CDFF28B" w14:textId="3543EF1E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 w:rsidRPr="006E607E">
        <w:rPr>
          <w:rFonts w:cstheme="minorHAnsi"/>
          <w:sz w:val="22"/>
        </w:rPr>
        <w:t xml:space="preserve">T.A. </w:t>
      </w:r>
      <w:r w:rsidR="006C09CB" w:rsidRPr="006E607E">
        <w:rPr>
          <w:rFonts w:cstheme="minorHAnsi"/>
          <w:sz w:val="22"/>
        </w:rPr>
        <w:t xml:space="preserve">Börzel, </w:t>
      </w:r>
      <w:r w:rsidRPr="006E607E">
        <w:rPr>
          <w:rFonts w:cstheme="minorHAnsi"/>
          <w:sz w:val="22"/>
        </w:rPr>
        <w:t>and T.</w:t>
      </w:r>
      <w:r w:rsidR="006C09CB" w:rsidRPr="006E607E">
        <w:rPr>
          <w:rFonts w:cstheme="minorHAnsi"/>
          <w:sz w:val="22"/>
        </w:rPr>
        <w:t xml:space="preserve">. Risse. </w:t>
      </w:r>
      <w:r w:rsidR="006C09CB" w:rsidRPr="003C7823">
        <w:rPr>
          <w:rFonts w:cstheme="minorHAnsi"/>
          <w:sz w:val="22"/>
        </w:rPr>
        <w:t xml:space="preserve">‘One size fits all! EU policies for the promotion of human rights, democracy and the rule of law’ (2004) 4 </w:t>
      </w:r>
      <w:r w:rsidR="006C09CB" w:rsidRPr="003C7823">
        <w:rPr>
          <w:rFonts w:cstheme="minorHAnsi"/>
          <w:i/>
          <w:iCs/>
          <w:sz w:val="22"/>
        </w:rPr>
        <w:t>Workshop on Democracy Promotion</w:t>
      </w:r>
      <w:r w:rsidR="006C09CB" w:rsidRPr="003C7823">
        <w:rPr>
          <w:rFonts w:cstheme="minorHAnsi"/>
          <w:sz w:val="22"/>
        </w:rPr>
        <w:t xml:space="preserve">. </w:t>
      </w:r>
    </w:p>
    <w:p w14:paraId="766883BA" w14:textId="773C0E5B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color w:val="222222"/>
          <w:sz w:val="22"/>
          <w:shd w:val="clear" w:color="auto" w:fill="FFFFFF"/>
        </w:rPr>
      </w:pPr>
      <w:r>
        <w:rPr>
          <w:rFonts w:cstheme="minorHAnsi"/>
          <w:color w:val="222222"/>
          <w:sz w:val="22"/>
          <w:shd w:val="clear" w:color="auto" w:fill="FFFFFF"/>
        </w:rPr>
        <w:t xml:space="preserve">F. 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Bossuyt, </w:t>
      </w:r>
      <w:r>
        <w:rPr>
          <w:rFonts w:cstheme="minorHAnsi"/>
          <w:color w:val="222222"/>
          <w:sz w:val="22"/>
          <w:shd w:val="clear" w:color="auto" w:fill="FFFFFF"/>
        </w:rPr>
        <w:t>J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 Orbie, J., &amp; </w:t>
      </w:r>
      <w:r>
        <w:rPr>
          <w:rFonts w:cstheme="minorHAnsi"/>
          <w:color w:val="222222"/>
          <w:sz w:val="22"/>
          <w:shd w:val="clear" w:color="auto" w:fill="FFFFFF"/>
        </w:rPr>
        <w:t xml:space="preserve">L 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Drieghe, ‘EU external policy coherence in the trade-foreign policy nexus: foreign policy through trade or strictly business?’ (2020) 23(1) </w:t>
      </w:r>
      <w:r w:rsidR="006C09CB" w:rsidRPr="003C7823">
        <w:rPr>
          <w:rFonts w:cstheme="minorHAnsi"/>
          <w:i/>
          <w:iCs/>
          <w:color w:val="222222"/>
          <w:sz w:val="22"/>
        </w:rPr>
        <w:t>Journal of International Relations and Development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>, 45-66.</w:t>
      </w:r>
    </w:p>
    <w:p w14:paraId="2292707B" w14:textId="2D3A309F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B. </w:t>
      </w:r>
      <w:r w:rsidR="006C09CB" w:rsidRPr="003C7823">
        <w:rPr>
          <w:rFonts w:cstheme="minorHAnsi"/>
          <w:sz w:val="22"/>
        </w:rPr>
        <w:t xml:space="preserve">Boswell, ‘The ‘external dimension’ of EU immigration and asylum policy.’ (2003) 79:3 </w:t>
      </w:r>
      <w:r w:rsidR="006C09CB" w:rsidRPr="003C7823">
        <w:rPr>
          <w:rFonts w:cstheme="minorHAnsi"/>
          <w:i/>
          <w:iCs/>
          <w:sz w:val="22"/>
        </w:rPr>
        <w:t>International Affairs</w:t>
      </w:r>
      <w:r w:rsidR="006C09CB" w:rsidRPr="003C7823">
        <w:rPr>
          <w:rFonts w:cstheme="minorHAnsi"/>
          <w:sz w:val="22"/>
        </w:rPr>
        <w:t xml:space="preserve"> 619-638.</w:t>
      </w:r>
    </w:p>
    <w:p w14:paraId="66F1E68A" w14:textId="16AF3206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B. </w:t>
      </w:r>
      <w:r w:rsidR="006C09CB" w:rsidRPr="003C7823">
        <w:rPr>
          <w:rFonts w:cstheme="minorHAnsi"/>
          <w:sz w:val="22"/>
        </w:rPr>
        <w:t xml:space="preserve">Brandtner, </w:t>
      </w:r>
      <w:r>
        <w:rPr>
          <w:rFonts w:cstheme="minorHAnsi"/>
          <w:sz w:val="22"/>
        </w:rPr>
        <w:t>and A</w:t>
      </w:r>
      <w:r w:rsidR="006C09CB" w:rsidRPr="003C7823">
        <w:rPr>
          <w:rFonts w:cstheme="minorHAnsi"/>
          <w:sz w:val="22"/>
        </w:rPr>
        <w:t xml:space="preserve"> Rosas. ‘Human rights and the External Relations of the European Community: An analysis of doctrine and practice.’ (1998) 9:3 </w:t>
      </w:r>
      <w:r w:rsidR="006C09CB" w:rsidRPr="003C7823">
        <w:rPr>
          <w:rFonts w:cstheme="minorHAnsi"/>
          <w:i/>
          <w:iCs/>
          <w:sz w:val="22"/>
        </w:rPr>
        <w:t>European Journal of International Law</w:t>
      </w:r>
      <w:r w:rsidR="006C09CB" w:rsidRPr="003C7823">
        <w:rPr>
          <w:rFonts w:cstheme="minorHAnsi"/>
          <w:sz w:val="22"/>
        </w:rPr>
        <w:t xml:space="preserve"> 468-490.</w:t>
      </w:r>
    </w:p>
    <w:p w14:paraId="69261D63" w14:textId="7C066E01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L. </w:t>
      </w:r>
      <w:r w:rsidR="006C09CB" w:rsidRPr="003C7823">
        <w:rPr>
          <w:rFonts w:cstheme="minorHAnsi"/>
          <w:sz w:val="22"/>
        </w:rPr>
        <w:t>Conant,. ‘Compelling criteria: human rights in the European Union’ (2014) 21:5 JEPP 713-729</w:t>
      </w:r>
    </w:p>
    <w:p w14:paraId="76425653" w14:textId="0D5A288C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G., </w:t>
      </w:r>
      <w:r w:rsidR="006C09CB" w:rsidRPr="003C7823">
        <w:rPr>
          <w:rFonts w:cstheme="minorHAnsi"/>
          <w:sz w:val="22"/>
        </w:rPr>
        <w:t xml:space="preserve">Crawford.’EU human rights and democracy promotion in Central Asia: From Lofty principles to Lowly self-interests’ (2008) 9:2 </w:t>
      </w:r>
      <w:r w:rsidR="006C09CB" w:rsidRPr="003C7823">
        <w:rPr>
          <w:rFonts w:cstheme="minorHAnsi"/>
          <w:i/>
          <w:iCs/>
          <w:sz w:val="22"/>
        </w:rPr>
        <w:t xml:space="preserve">Perspectives On European Politics &amp; Society </w:t>
      </w:r>
      <w:r w:rsidR="006C09CB" w:rsidRPr="003C7823">
        <w:rPr>
          <w:rFonts w:cstheme="minorHAnsi"/>
          <w:sz w:val="22"/>
        </w:rPr>
        <w:t>172-191.</w:t>
      </w:r>
    </w:p>
    <w:p w14:paraId="69F6958D" w14:textId="741885FA" w:rsidR="006C09CB" w:rsidRPr="003C7823" w:rsidRDefault="00105401">
      <w:pPr>
        <w:pStyle w:val="ListParagraph"/>
        <w:numPr>
          <w:ilvl w:val="0"/>
          <w:numId w:val="27"/>
        </w:numPr>
        <w:rPr>
          <w:rFonts w:cstheme="minorHAnsi"/>
          <w:b/>
          <w:sz w:val="22"/>
        </w:rPr>
      </w:pPr>
      <w:r>
        <w:rPr>
          <w:rFonts w:cstheme="minorHAnsi"/>
          <w:sz w:val="22"/>
        </w:rPr>
        <w:t xml:space="preserve">G. </w:t>
      </w:r>
      <w:r w:rsidR="006C09CB" w:rsidRPr="003C7823">
        <w:rPr>
          <w:rFonts w:cstheme="minorHAnsi"/>
          <w:sz w:val="22"/>
        </w:rPr>
        <w:t>de Burca,. ‘</w:t>
      </w:r>
      <w:hyperlink r:id="rId75" w:history="1">
        <w:r w:rsidR="006C09CB" w:rsidRPr="003C7823">
          <w:rPr>
            <w:rStyle w:val="Hyperlink"/>
            <w:rFonts w:cstheme="minorHAnsi"/>
            <w:color w:val="auto"/>
            <w:sz w:val="22"/>
            <w:u w:val="none"/>
          </w:rPr>
          <w:t>Beyond the Charter: How Enlargement Has Enlarged the Human Rights Policy of the European Union</w:t>
        </w:r>
      </w:hyperlink>
      <w:r w:rsidR="006C09CB" w:rsidRPr="003C7823">
        <w:rPr>
          <w:rFonts w:cstheme="minorHAnsi"/>
          <w:sz w:val="22"/>
        </w:rPr>
        <w:t xml:space="preserve">’ (2003) 27:2 </w:t>
      </w:r>
      <w:r w:rsidR="006C09CB" w:rsidRPr="003C7823">
        <w:rPr>
          <w:rFonts w:cstheme="minorHAnsi"/>
          <w:i/>
          <w:iCs/>
          <w:sz w:val="22"/>
        </w:rPr>
        <w:t>Fordham Int</w:t>
      </w:r>
      <w:r w:rsidR="00A33151" w:rsidRPr="003C7823">
        <w:rPr>
          <w:rFonts w:cstheme="minorHAnsi"/>
          <w:i/>
          <w:iCs/>
          <w:sz w:val="22"/>
        </w:rPr>
        <w:t>ernational Law Journal</w:t>
      </w:r>
      <w:r w:rsidR="006C09CB" w:rsidRPr="003C7823">
        <w:rPr>
          <w:rFonts w:cstheme="minorHAnsi"/>
          <w:sz w:val="22"/>
        </w:rPr>
        <w:t xml:space="preserve"> 679.</w:t>
      </w:r>
    </w:p>
    <w:p w14:paraId="33D4358A" w14:textId="0FCF78F7" w:rsidR="006C09CB" w:rsidRPr="003C7823" w:rsidRDefault="00105401">
      <w:pPr>
        <w:pStyle w:val="ListParagraph"/>
        <w:numPr>
          <w:ilvl w:val="0"/>
          <w:numId w:val="27"/>
        </w:numPr>
        <w:rPr>
          <w:rFonts w:cstheme="minorHAnsi"/>
          <w:color w:val="222222"/>
          <w:sz w:val="22"/>
          <w:shd w:val="clear" w:color="auto" w:fill="FFFFFF"/>
        </w:rPr>
      </w:pPr>
      <w:r>
        <w:rPr>
          <w:rFonts w:cstheme="minorHAnsi"/>
          <w:color w:val="222222"/>
          <w:sz w:val="22"/>
          <w:shd w:val="clear" w:color="auto" w:fill="FFFFFF"/>
        </w:rPr>
        <w:t xml:space="preserve">P. 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Debusscher, </w:t>
      </w:r>
      <w:r>
        <w:rPr>
          <w:rFonts w:cstheme="minorHAnsi"/>
          <w:color w:val="222222"/>
          <w:sz w:val="22"/>
          <w:shd w:val="clear" w:color="auto" w:fill="FFFFFF"/>
        </w:rPr>
        <w:t>&amp; I.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 Manners, I. ‘Understanding the European Union as a Global Gender Actor - The Holistic Intersectional and Inclusive Study of Gender+ in External Actions’. (2020) 1 </w:t>
      </w:r>
      <w:r w:rsidR="006C09CB" w:rsidRPr="003C7823">
        <w:rPr>
          <w:rFonts w:cstheme="minorHAnsi"/>
          <w:i/>
          <w:iCs/>
          <w:color w:val="222222"/>
          <w:sz w:val="22"/>
        </w:rPr>
        <w:t>Political Studies Review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>, 16.</w:t>
      </w:r>
    </w:p>
    <w:p w14:paraId="6F16B783" w14:textId="29424CE2" w:rsidR="006C09CB" w:rsidRPr="003C7823" w:rsidRDefault="00105401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V. </w:t>
      </w:r>
      <w:r w:rsidR="006C09CB" w:rsidRPr="003C7823">
        <w:rPr>
          <w:rFonts w:cstheme="minorHAnsi"/>
          <w:sz w:val="22"/>
        </w:rPr>
        <w:t xml:space="preserve">Depaigne, ‘Protecting Fundamental Rights in Trade Agreements between the EU and Third Countries’ (2017) 4 </w:t>
      </w:r>
      <w:r w:rsidR="006C09CB" w:rsidRPr="003C7823">
        <w:rPr>
          <w:rFonts w:cstheme="minorHAnsi"/>
          <w:i/>
          <w:sz w:val="22"/>
        </w:rPr>
        <w:t>European law Review</w:t>
      </w:r>
      <w:r w:rsidR="006C09CB" w:rsidRPr="003C7823">
        <w:rPr>
          <w:rFonts w:cstheme="minorHAnsi"/>
          <w:sz w:val="22"/>
        </w:rPr>
        <w:t xml:space="preserve"> 562-576</w:t>
      </w:r>
    </w:p>
    <w:p w14:paraId="558B0843" w14:textId="1C72184B" w:rsidR="006C09CB" w:rsidRPr="003C7823" w:rsidRDefault="006C09CB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 w:rsidRPr="003C7823">
        <w:rPr>
          <w:rFonts w:cstheme="minorHAnsi"/>
          <w:sz w:val="22"/>
        </w:rPr>
        <w:t>Der-Chin Horng’ The Human Rights Clause</w:t>
      </w:r>
      <w:r w:rsidR="004D6B96" w:rsidRPr="003C7823">
        <w:rPr>
          <w:rFonts w:cstheme="minorHAnsi"/>
          <w:sz w:val="22"/>
        </w:rPr>
        <w:t>s</w:t>
      </w:r>
      <w:r w:rsidRPr="003C7823">
        <w:rPr>
          <w:rFonts w:cstheme="minorHAnsi"/>
          <w:sz w:val="22"/>
        </w:rPr>
        <w:t xml:space="preserve"> in the European Union's External Trade and Development Agreements’ (2003) 9:5  </w:t>
      </w:r>
      <w:r w:rsidRPr="003C7823">
        <w:rPr>
          <w:rFonts w:cstheme="minorHAnsi"/>
          <w:i/>
          <w:iCs/>
          <w:sz w:val="22"/>
        </w:rPr>
        <w:t>European Law Journal</w:t>
      </w:r>
      <w:r w:rsidRPr="003C7823">
        <w:rPr>
          <w:rFonts w:cstheme="minorHAnsi"/>
          <w:sz w:val="22"/>
        </w:rPr>
        <w:t xml:space="preserve">, 677-701. </w:t>
      </w:r>
    </w:p>
    <w:p w14:paraId="3E077A74" w14:textId="3D8FE72E" w:rsidR="00F12B6D" w:rsidRPr="003C7823" w:rsidRDefault="00F12B6D">
      <w:pPr>
        <w:pStyle w:val="ListParagraph"/>
        <w:numPr>
          <w:ilvl w:val="0"/>
          <w:numId w:val="27"/>
        </w:numPr>
        <w:spacing w:line="240" w:lineRule="auto"/>
        <w:jc w:val="left"/>
        <w:rPr>
          <w:rFonts w:cstheme="minorHAnsi"/>
          <w:sz w:val="22"/>
        </w:rPr>
      </w:pPr>
      <w:r w:rsidRPr="003C7823">
        <w:rPr>
          <w:rFonts w:cstheme="minorHAnsi"/>
          <w:sz w:val="22"/>
        </w:rPr>
        <w:lastRenderedPageBreak/>
        <w:t>B. Duarte, P</w:t>
      </w:r>
      <w:r w:rsidR="00251444">
        <w:rPr>
          <w:rFonts w:cstheme="minorHAnsi"/>
          <w:sz w:val="22"/>
        </w:rPr>
        <w:t xml:space="preserve"> </w:t>
      </w:r>
      <w:r w:rsidRPr="003C7823">
        <w:rPr>
          <w:rFonts w:cstheme="minorHAnsi"/>
          <w:sz w:val="22"/>
        </w:rPr>
        <w:t>Afonso, and L</w:t>
      </w:r>
      <w:r w:rsidR="00251444">
        <w:rPr>
          <w:rFonts w:cstheme="minorHAnsi"/>
          <w:sz w:val="22"/>
        </w:rPr>
        <w:t>.</w:t>
      </w:r>
      <w:r w:rsidRPr="003C7823">
        <w:rPr>
          <w:rFonts w:cstheme="minorHAnsi"/>
          <w:sz w:val="22"/>
        </w:rPr>
        <w:t xml:space="preserve">C. Ferreira-Pereira. </w:t>
      </w:r>
      <w:r w:rsidR="00251444">
        <w:rPr>
          <w:rFonts w:cstheme="minorHAnsi"/>
          <w:sz w:val="22"/>
        </w:rPr>
        <w:t>“</w:t>
      </w:r>
      <w:r w:rsidRPr="003C7823">
        <w:rPr>
          <w:rFonts w:cstheme="minorHAnsi"/>
          <w:sz w:val="22"/>
        </w:rPr>
        <w:t>The soft power of China and the European Union in the context of the Belt and Road Initiative and global strategy.</w:t>
      </w:r>
      <w:r w:rsidR="00251444">
        <w:rPr>
          <w:rFonts w:cstheme="minorHAnsi"/>
          <w:sz w:val="22"/>
        </w:rPr>
        <w:t>’ (2022) 30.4</w:t>
      </w:r>
      <w:r w:rsidRPr="003C7823">
        <w:rPr>
          <w:rFonts w:cstheme="minorHAnsi"/>
          <w:sz w:val="22"/>
        </w:rPr>
        <w:t xml:space="preserve"> </w:t>
      </w:r>
      <w:r w:rsidRPr="003C7823">
        <w:rPr>
          <w:rFonts w:cstheme="minorHAnsi"/>
          <w:i/>
          <w:iCs/>
          <w:sz w:val="22"/>
        </w:rPr>
        <w:t>Journal of Contemporary European Studies</w:t>
      </w:r>
      <w:r w:rsidRPr="003C7823">
        <w:rPr>
          <w:rFonts w:cstheme="minorHAnsi"/>
          <w:sz w:val="22"/>
        </w:rPr>
        <w:t xml:space="preserve"> 593-607.</w:t>
      </w:r>
    </w:p>
    <w:p w14:paraId="1F3F803A" w14:textId="60337EE1" w:rsidR="001259EB" w:rsidRPr="003C7823" w:rsidRDefault="00251444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C. </w:t>
      </w:r>
      <w:r w:rsidR="00D10384" w:rsidRPr="003C7823">
        <w:rPr>
          <w:rFonts w:cstheme="minorHAnsi"/>
          <w:sz w:val="22"/>
        </w:rPr>
        <w:t xml:space="preserve">Eckes, </w:t>
      </w:r>
      <w:r w:rsidR="004D6B96" w:rsidRPr="003C7823">
        <w:rPr>
          <w:rFonts w:cstheme="minorHAnsi"/>
          <w:sz w:val="22"/>
        </w:rPr>
        <w:t>‘</w:t>
      </w:r>
      <w:r w:rsidR="00D10384" w:rsidRPr="003C7823">
        <w:rPr>
          <w:rFonts w:cstheme="minorHAnsi"/>
          <w:sz w:val="22"/>
        </w:rPr>
        <w:t>EU Human Rights Sanctions Regime: Striving for Utopia Backed by Sovereign Power?.</w:t>
      </w:r>
      <w:r w:rsidR="004D6B96" w:rsidRPr="003C7823">
        <w:rPr>
          <w:rFonts w:cstheme="minorHAnsi"/>
          <w:sz w:val="22"/>
        </w:rPr>
        <w:t>’</w:t>
      </w:r>
      <w:r w:rsidR="00D10384" w:rsidRPr="003C782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(2021) 26.2 </w:t>
      </w:r>
      <w:r w:rsidR="00D10384" w:rsidRPr="003C7823">
        <w:rPr>
          <w:rFonts w:cstheme="minorHAnsi"/>
          <w:i/>
          <w:iCs/>
          <w:sz w:val="22"/>
        </w:rPr>
        <w:t>European Foreign Affairs Review</w:t>
      </w:r>
      <w:r w:rsidR="00D10384" w:rsidRPr="003C7823">
        <w:rPr>
          <w:rFonts w:cstheme="minorHAnsi"/>
          <w:sz w:val="22"/>
        </w:rPr>
        <w:t xml:space="preserve"> </w:t>
      </w:r>
      <w:r w:rsidR="00670C57">
        <w:rPr>
          <w:rFonts w:cstheme="minorHAnsi"/>
          <w:sz w:val="22"/>
        </w:rPr>
        <w:t>219-242</w:t>
      </w:r>
    </w:p>
    <w:p w14:paraId="6226F94D" w14:textId="58615BF8" w:rsidR="001259EB" w:rsidRPr="003C7823" w:rsidRDefault="00105401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A. </w:t>
      </w:r>
      <w:r w:rsidR="001259EB" w:rsidRPr="003C7823">
        <w:rPr>
          <w:rFonts w:cstheme="minorHAnsi"/>
          <w:sz w:val="22"/>
        </w:rPr>
        <w:t xml:space="preserve">Egan, and L Pech. ‘Respect for human rights as a general objective of the EU’s external action’ in </w:t>
      </w:r>
      <w:r w:rsidR="001259EB" w:rsidRPr="003C7823">
        <w:rPr>
          <w:rFonts w:cstheme="minorHAnsi"/>
          <w:i/>
          <w:sz w:val="22"/>
        </w:rPr>
        <w:t>Research Handbook on EU Law and Human Rights</w:t>
      </w:r>
      <w:r w:rsidR="001259EB" w:rsidRPr="003C7823">
        <w:rPr>
          <w:rFonts w:cstheme="minorHAnsi"/>
          <w:sz w:val="22"/>
        </w:rPr>
        <w:t xml:space="preserve"> (Edward Elgar Publishing, 2017).</w:t>
      </w:r>
    </w:p>
    <w:p w14:paraId="7E4C5712" w14:textId="35F56A4F" w:rsidR="001259EB" w:rsidRPr="003C7823" w:rsidRDefault="00BB5EBE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E. </w:t>
      </w:r>
      <w:r w:rsidR="001259EB" w:rsidRPr="003C7823">
        <w:rPr>
          <w:rFonts w:cstheme="minorHAnsi"/>
          <w:sz w:val="22"/>
        </w:rPr>
        <w:t>Fassi, and S</w:t>
      </w:r>
      <w:r w:rsidR="009751E0" w:rsidRPr="003C7823">
        <w:rPr>
          <w:rFonts w:cstheme="minorHAnsi"/>
          <w:sz w:val="22"/>
        </w:rPr>
        <w:t xml:space="preserve">. </w:t>
      </w:r>
      <w:r w:rsidR="001259EB" w:rsidRPr="003C7823">
        <w:rPr>
          <w:rFonts w:cstheme="minorHAnsi"/>
          <w:sz w:val="22"/>
        </w:rPr>
        <w:t xml:space="preserve">Lucarelli. </w:t>
      </w:r>
      <w:r w:rsidR="000C6D39">
        <w:rPr>
          <w:rFonts w:cstheme="minorHAnsi"/>
          <w:sz w:val="22"/>
        </w:rPr>
        <w:t>‘</w:t>
      </w:r>
      <w:r w:rsidR="001259EB" w:rsidRPr="003C7823">
        <w:rPr>
          <w:rFonts w:cstheme="minorHAnsi"/>
          <w:sz w:val="22"/>
        </w:rPr>
        <w:t>The EU Migration System and Global Justice: An Assessment.</w:t>
      </w:r>
      <w:r w:rsidR="000C6D39">
        <w:rPr>
          <w:rFonts w:cstheme="minorHAnsi"/>
          <w:sz w:val="22"/>
        </w:rPr>
        <w:t>’</w:t>
      </w:r>
      <w:r w:rsidR="001259EB" w:rsidRPr="003C7823">
        <w:rPr>
          <w:rFonts w:cstheme="minorHAnsi"/>
          <w:sz w:val="22"/>
        </w:rPr>
        <w:t xml:space="preserve"> In </w:t>
      </w:r>
      <w:r w:rsidR="001259EB" w:rsidRPr="003C7823">
        <w:rPr>
          <w:rFonts w:cstheme="minorHAnsi"/>
          <w:i/>
          <w:iCs/>
          <w:sz w:val="22"/>
        </w:rPr>
        <w:t>The EU Migration System of Governance</w:t>
      </w:r>
      <w:r w:rsidR="001259EB" w:rsidRPr="003C7823">
        <w:rPr>
          <w:rFonts w:cstheme="minorHAnsi"/>
          <w:sz w:val="22"/>
        </w:rPr>
        <w:t>, (Palgrave Macmillan, 2021), 259-277.</w:t>
      </w:r>
    </w:p>
    <w:p w14:paraId="51C8CCED" w14:textId="2E3B955D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E. </w:t>
      </w:r>
      <w:r w:rsidR="006C09CB" w:rsidRPr="003C7823">
        <w:rPr>
          <w:rFonts w:cstheme="minorHAnsi"/>
          <w:sz w:val="22"/>
        </w:rPr>
        <w:t>Fierro</w:t>
      </w:r>
      <w:r>
        <w:rPr>
          <w:rFonts w:cstheme="minorHAnsi"/>
          <w:sz w:val="22"/>
        </w:rPr>
        <w:t xml:space="preserve">, </w:t>
      </w:r>
      <w:r w:rsidR="006C09CB" w:rsidRPr="003C7823">
        <w:rPr>
          <w:rFonts w:cstheme="minorHAnsi"/>
          <w:sz w:val="22"/>
        </w:rPr>
        <w:t xml:space="preserve">’Legal Basis and Scope of the Human Rights Clauses in EC Bilateral Agreements: Any Room for Positive Interpretation?’ (2001) 7:1 </w:t>
      </w:r>
      <w:r w:rsidR="006C09CB" w:rsidRPr="003C7823">
        <w:rPr>
          <w:rFonts w:cstheme="minorHAnsi"/>
          <w:i/>
          <w:iCs/>
          <w:sz w:val="22"/>
        </w:rPr>
        <w:t>European Law Journal</w:t>
      </w:r>
      <w:r w:rsidR="006C09CB" w:rsidRPr="003C7823">
        <w:rPr>
          <w:rFonts w:cstheme="minorHAnsi"/>
          <w:sz w:val="22"/>
        </w:rPr>
        <w:t xml:space="preserve"> 41-68 </w:t>
      </w:r>
    </w:p>
    <w:p w14:paraId="1F6A9118" w14:textId="5A8B54A8" w:rsidR="006C09CB" w:rsidRPr="003C7823" w:rsidRDefault="000C6D3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A. </w:t>
      </w:r>
      <w:r w:rsidR="006C09CB" w:rsidRPr="003C7823">
        <w:rPr>
          <w:rFonts w:cstheme="minorHAnsi"/>
          <w:sz w:val="22"/>
        </w:rPr>
        <w:t xml:space="preserve">Gates,. ‘Mixed messages and mixed results: the EU Promotion of Human Rights in Turkey’ (2009) 15:5 </w:t>
      </w:r>
      <w:r w:rsidR="006C09CB" w:rsidRPr="00BB5EBE">
        <w:rPr>
          <w:rFonts w:cstheme="minorHAnsi"/>
          <w:i/>
          <w:iCs/>
          <w:sz w:val="22"/>
        </w:rPr>
        <w:t>E</w:t>
      </w:r>
      <w:r w:rsidR="009751E0" w:rsidRPr="00BB5EBE">
        <w:rPr>
          <w:rFonts w:cstheme="minorHAnsi"/>
          <w:i/>
          <w:iCs/>
          <w:sz w:val="22"/>
        </w:rPr>
        <w:t>uropean Law Journal</w:t>
      </w:r>
      <w:r w:rsidR="009751E0" w:rsidRPr="003C7823">
        <w:rPr>
          <w:rFonts w:cstheme="minorHAnsi"/>
          <w:sz w:val="22"/>
        </w:rPr>
        <w:t xml:space="preserve"> </w:t>
      </w:r>
      <w:r w:rsidR="006C09CB" w:rsidRPr="003C7823">
        <w:rPr>
          <w:rFonts w:cstheme="minorHAnsi"/>
          <w:sz w:val="22"/>
        </w:rPr>
        <w:t xml:space="preserve">401-411 </w:t>
      </w:r>
    </w:p>
    <w:p w14:paraId="564CF5E6" w14:textId="06993FC0" w:rsidR="006C09CB" w:rsidRPr="003C7823" w:rsidRDefault="00BB5EBE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N. </w:t>
      </w:r>
      <w:r w:rsidR="006C09CB" w:rsidRPr="003C7823">
        <w:rPr>
          <w:rFonts w:cstheme="minorHAnsi"/>
          <w:sz w:val="22"/>
        </w:rPr>
        <w:t xml:space="preserve">Ghazaryan,.’A new generation of human rights clauses? The case of association  agreements in the Eastern neighborhood’ (2015) 40:3 </w:t>
      </w:r>
      <w:r w:rsidR="006C09CB" w:rsidRPr="003C7823">
        <w:rPr>
          <w:rFonts w:cstheme="minorHAnsi"/>
          <w:i/>
          <w:sz w:val="22"/>
        </w:rPr>
        <w:t>European Law Review</w:t>
      </w:r>
      <w:r w:rsidR="006C09CB" w:rsidRPr="003C7823">
        <w:rPr>
          <w:rFonts w:cstheme="minorHAnsi"/>
          <w:sz w:val="22"/>
        </w:rPr>
        <w:t>. 341-410.</w:t>
      </w:r>
    </w:p>
    <w:p w14:paraId="2AEE3B6B" w14:textId="76C4BC74" w:rsidR="005D12F1" w:rsidRPr="00BB5EBE" w:rsidRDefault="00BB5EBE" w:rsidP="00BB5EBE">
      <w:pPr>
        <w:pStyle w:val="ListParagraph"/>
        <w:numPr>
          <w:ilvl w:val="0"/>
          <w:numId w:val="27"/>
        </w:numPr>
        <w:spacing w:line="240" w:lineRule="auto"/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M. </w:t>
      </w:r>
      <w:r w:rsidR="005D12F1" w:rsidRPr="003C7823">
        <w:rPr>
          <w:rFonts w:cstheme="minorHAnsi"/>
          <w:sz w:val="22"/>
        </w:rPr>
        <w:t xml:space="preserve">Ghodsi, </w:t>
      </w:r>
      <w:r>
        <w:rPr>
          <w:rFonts w:cstheme="minorHAnsi"/>
          <w:sz w:val="22"/>
        </w:rPr>
        <w:t>and H.</w:t>
      </w:r>
      <w:r w:rsidR="005D12F1" w:rsidRPr="003C7823">
        <w:rPr>
          <w:rFonts w:cstheme="minorHAnsi"/>
          <w:sz w:val="22"/>
        </w:rPr>
        <w:t xml:space="preserve"> Karamelikli. The impact of sanctions imposed by the European Union against Iran on their bilateral trade: General versus targeted sanctions</w:t>
      </w:r>
      <w:r>
        <w:rPr>
          <w:rFonts w:cstheme="minorHAnsi"/>
          <w:sz w:val="22"/>
        </w:rPr>
        <w:t>’ (2022) 21.1</w:t>
      </w:r>
      <w:r w:rsidR="005D12F1" w:rsidRPr="003C7823">
        <w:rPr>
          <w:rFonts w:cstheme="minorHAnsi"/>
          <w:sz w:val="22"/>
        </w:rPr>
        <w:t xml:space="preserve"> </w:t>
      </w:r>
      <w:r w:rsidR="005D12F1" w:rsidRPr="003C7823">
        <w:rPr>
          <w:rFonts w:cstheme="minorHAnsi"/>
          <w:i/>
          <w:iCs/>
          <w:sz w:val="22"/>
        </w:rPr>
        <w:t>World Trade Review</w:t>
      </w:r>
      <w:r w:rsidR="005D12F1" w:rsidRPr="003C7823">
        <w:rPr>
          <w:rFonts w:cstheme="minorHAnsi"/>
          <w:sz w:val="22"/>
        </w:rPr>
        <w:t xml:space="preserve"> (2022): 33-58.</w:t>
      </w:r>
    </w:p>
    <w:p w14:paraId="1F2F48BD" w14:textId="1DB7BBC8" w:rsidR="004F437F" w:rsidRPr="003C7823" w:rsidRDefault="00BB5EBE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C. </w:t>
      </w:r>
      <w:r w:rsidR="004F437F" w:rsidRPr="003C7823">
        <w:rPr>
          <w:rFonts w:cstheme="minorHAnsi"/>
          <w:sz w:val="22"/>
        </w:rPr>
        <w:t xml:space="preserve">Hackenesch, </w:t>
      </w:r>
      <w:r>
        <w:rPr>
          <w:rFonts w:cstheme="minorHAnsi"/>
          <w:sz w:val="22"/>
        </w:rPr>
        <w:t xml:space="preserve">J. </w:t>
      </w:r>
      <w:r w:rsidR="004F437F" w:rsidRPr="003C7823">
        <w:rPr>
          <w:rFonts w:cstheme="minorHAnsi"/>
          <w:sz w:val="22"/>
        </w:rPr>
        <w:t xml:space="preserve">Bergmann, </w:t>
      </w:r>
      <w:r>
        <w:rPr>
          <w:rFonts w:cstheme="minorHAnsi"/>
          <w:sz w:val="22"/>
        </w:rPr>
        <w:t xml:space="preserve">&amp; J. </w:t>
      </w:r>
      <w:r w:rsidR="004F437F" w:rsidRPr="003C7823">
        <w:rPr>
          <w:rFonts w:cstheme="minorHAnsi"/>
          <w:sz w:val="22"/>
        </w:rPr>
        <w:t xml:space="preserve">Orbie, J. Development policy under fire? The politicization of European external relations. </w:t>
      </w:r>
      <w:r w:rsidR="002D317C" w:rsidRPr="003C7823">
        <w:rPr>
          <w:rFonts w:cstheme="minorHAnsi"/>
          <w:sz w:val="22"/>
        </w:rPr>
        <w:t xml:space="preserve">(2021) </w:t>
      </w:r>
      <w:r w:rsidR="002D317C" w:rsidRPr="003C7823">
        <w:rPr>
          <w:rFonts w:cstheme="minorHAnsi"/>
          <w:i/>
          <w:iCs/>
          <w:sz w:val="22"/>
        </w:rPr>
        <w:t>59</w:t>
      </w:r>
      <w:r w:rsidR="002D317C" w:rsidRPr="003C7823">
        <w:rPr>
          <w:rFonts w:cstheme="minorHAnsi"/>
          <w:sz w:val="22"/>
        </w:rPr>
        <w:t xml:space="preserve">(1) </w:t>
      </w:r>
      <w:r w:rsidR="004F437F" w:rsidRPr="003C7823">
        <w:rPr>
          <w:rFonts w:cstheme="minorHAnsi"/>
          <w:i/>
          <w:iCs/>
          <w:sz w:val="22"/>
        </w:rPr>
        <w:t>JCMS: journal of common market studies</w:t>
      </w:r>
      <w:r w:rsidR="004F437F" w:rsidRPr="003C7823">
        <w:rPr>
          <w:rFonts w:cstheme="minorHAnsi"/>
          <w:sz w:val="22"/>
        </w:rPr>
        <w:t>, 3-19.</w:t>
      </w:r>
    </w:p>
    <w:p w14:paraId="61824A86" w14:textId="3921D5EF" w:rsidR="006C09CB" w:rsidRPr="003C7823" w:rsidRDefault="00CB1B26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W. </w:t>
      </w:r>
      <w:r w:rsidR="006C09CB" w:rsidRPr="003C7823">
        <w:rPr>
          <w:rFonts w:cstheme="minorHAnsi"/>
          <w:sz w:val="22"/>
        </w:rPr>
        <w:t xml:space="preserve">Hale  ‘Human rights, the European Union and the Turkish accession process’. (2003) 4:1 </w:t>
      </w:r>
      <w:r w:rsidR="006C09CB" w:rsidRPr="003C7823">
        <w:rPr>
          <w:rFonts w:cstheme="minorHAnsi"/>
          <w:i/>
          <w:iCs/>
          <w:sz w:val="22"/>
        </w:rPr>
        <w:t>Turkish Studies</w:t>
      </w:r>
      <w:r w:rsidR="006C09CB" w:rsidRPr="003C7823">
        <w:rPr>
          <w:rFonts w:cstheme="minorHAnsi"/>
          <w:sz w:val="22"/>
        </w:rPr>
        <w:t xml:space="preserve"> 107-126.</w:t>
      </w:r>
    </w:p>
    <w:p w14:paraId="5E71EBF1" w14:textId="29A97EF8" w:rsidR="006C09CB" w:rsidRPr="003C7823" w:rsidRDefault="00CB1B26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G. </w:t>
      </w:r>
      <w:r w:rsidR="006C09CB" w:rsidRPr="003C7823">
        <w:rPr>
          <w:rFonts w:cstheme="minorHAnsi"/>
          <w:sz w:val="22"/>
        </w:rPr>
        <w:t xml:space="preserve">Harpaz, ‘The </w:t>
      </w:r>
      <w:r w:rsidR="006C09CB" w:rsidRPr="003C7823">
        <w:rPr>
          <w:rStyle w:val="Strong"/>
          <w:rFonts w:cstheme="minorHAnsi"/>
          <w:b w:val="0"/>
          <w:bCs w:val="0"/>
          <w:sz w:val="22"/>
        </w:rPr>
        <w:t>EU</w:t>
      </w:r>
      <w:r w:rsidR="006C09CB" w:rsidRPr="003C7823">
        <w:rPr>
          <w:rFonts w:cstheme="minorHAnsi"/>
          <w:b/>
          <w:sz w:val="22"/>
        </w:rPr>
        <w:t xml:space="preserve"> </w:t>
      </w:r>
      <w:r w:rsidR="006C09CB" w:rsidRPr="003C7823">
        <w:rPr>
          <w:rFonts w:cstheme="minorHAnsi"/>
          <w:sz w:val="22"/>
        </w:rPr>
        <w:t xml:space="preserve">Funding of Israeli Non-governmental </w:t>
      </w:r>
      <w:r w:rsidR="006C09CB" w:rsidRPr="003C7823">
        <w:rPr>
          <w:rStyle w:val="Strong"/>
          <w:rFonts w:cstheme="minorHAnsi"/>
          <w:b w:val="0"/>
          <w:bCs w:val="0"/>
          <w:sz w:val="22"/>
        </w:rPr>
        <w:t>Human</w:t>
      </w:r>
      <w:r w:rsidR="006C09CB" w:rsidRPr="003C7823">
        <w:rPr>
          <w:rFonts w:cstheme="minorHAnsi"/>
          <w:b/>
          <w:bCs/>
          <w:sz w:val="22"/>
        </w:rPr>
        <w:t xml:space="preserve"> </w:t>
      </w:r>
      <w:r w:rsidR="006C09CB" w:rsidRPr="003C7823">
        <w:rPr>
          <w:rStyle w:val="Strong"/>
          <w:rFonts w:cstheme="minorHAnsi"/>
          <w:b w:val="0"/>
          <w:bCs w:val="0"/>
          <w:sz w:val="22"/>
        </w:rPr>
        <w:t>Rights</w:t>
      </w:r>
      <w:r w:rsidR="006C09CB" w:rsidRPr="003C7823">
        <w:rPr>
          <w:rFonts w:cstheme="minorHAnsi"/>
          <w:sz w:val="22"/>
        </w:rPr>
        <w:t xml:space="preserve"> Organizations: When </w:t>
      </w:r>
      <w:r w:rsidR="006C09CB" w:rsidRPr="003C7823">
        <w:rPr>
          <w:rStyle w:val="Strong"/>
          <w:rFonts w:cstheme="minorHAnsi"/>
          <w:b w:val="0"/>
          <w:bCs w:val="0"/>
          <w:sz w:val="22"/>
        </w:rPr>
        <w:t>EU</w:t>
      </w:r>
      <w:r w:rsidR="006C09CB" w:rsidRPr="003C7823">
        <w:rPr>
          <w:rFonts w:cstheme="minorHAnsi"/>
          <w:b/>
          <w:bCs/>
          <w:sz w:val="22"/>
        </w:rPr>
        <w:t xml:space="preserve"> </w:t>
      </w:r>
      <w:r w:rsidR="006C09CB" w:rsidRPr="003C7823">
        <w:rPr>
          <w:rFonts w:cstheme="minorHAnsi"/>
          <w:sz w:val="22"/>
        </w:rPr>
        <w:t xml:space="preserve">External Governance Meets a Domestic Counter-Strategy’  (2015) 20:2 </w:t>
      </w:r>
      <w:r w:rsidR="006C09CB" w:rsidRPr="003C7823">
        <w:rPr>
          <w:rFonts w:cstheme="minorHAnsi"/>
          <w:i/>
          <w:sz w:val="22"/>
        </w:rPr>
        <w:t>European Foreign Affairs Review</w:t>
      </w:r>
      <w:r w:rsidR="006C09CB" w:rsidRPr="003C7823">
        <w:rPr>
          <w:rFonts w:cstheme="minorHAnsi"/>
          <w:sz w:val="22"/>
        </w:rPr>
        <w:t xml:space="preserve">  207-225</w:t>
      </w:r>
    </w:p>
    <w:p w14:paraId="537560A7" w14:textId="0385FACB" w:rsidR="006C09CB" w:rsidRPr="003C7823" w:rsidRDefault="00CB1B26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H. </w:t>
      </w:r>
      <w:r w:rsidR="006C09CB" w:rsidRPr="003C7823">
        <w:rPr>
          <w:rFonts w:cstheme="minorHAnsi"/>
          <w:sz w:val="22"/>
        </w:rPr>
        <w:t xml:space="preserve">Hazelzet, ‘Human rights aspects of EU crisis management operations: From nuisance to necessity.’ (2006) 13:4 </w:t>
      </w:r>
      <w:r w:rsidR="006C09CB" w:rsidRPr="003C7823">
        <w:rPr>
          <w:rFonts w:cstheme="minorHAnsi"/>
          <w:i/>
          <w:iCs/>
          <w:sz w:val="22"/>
        </w:rPr>
        <w:t>International Peacekeeping</w:t>
      </w:r>
      <w:r w:rsidR="006C09CB" w:rsidRPr="003C7823">
        <w:rPr>
          <w:rFonts w:cstheme="minorHAnsi"/>
          <w:sz w:val="22"/>
        </w:rPr>
        <w:t xml:space="preserve"> 564-581.</w:t>
      </w:r>
    </w:p>
    <w:p w14:paraId="5909DA48" w14:textId="48839CBA" w:rsidR="006C09CB" w:rsidRPr="003C7823" w:rsidRDefault="00CB1B26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B. </w:t>
      </w:r>
      <w:r w:rsidR="006C09CB" w:rsidRPr="003C7823">
        <w:rPr>
          <w:rFonts w:cstheme="minorHAnsi"/>
          <w:sz w:val="22"/>
        </w:rPr>
        <w:t xml:space="preserve">Huszka,  ‘Human Rights on the Losing end of EU Enlargement: The Case of Serbia’. (2018) 56(2) </w:t>
      </w:r>
      <w:r w:rsidR="006C09CB" w:rsidRPr="003C7823">
        <w:rPr>
          <w:rFonts w:cstheme="minorHAnsi"/>
          <w:i/>
          <w:iCs/>
          <w:sz w:val="22"/>
        </w:rPr>
        <w:t>JCMS: Journal of Common Market Studies</w:t>
      </w:r>
      <w:r w:rsidR="006C09CB" w:rsidRPr="003C7823">
        <w:rPr>
          <w:rFonts w:cstheme="minorHAnsi"/>
          <w:sz w:val="22"/>
        </w:rPr>
        <w:t>, 352-367.</w:t>
      </w:r>
    </w:p>
    <w:p w14:paraId="424BA68C" w14:textId="5A320726" w:rsidR="00101F5D" w:rsidRPr="00892730" w:rsidRDefault="00CB1B26" w:rsidP="00892730">
      <w:pPr>
        <w:pStyle w:val="ListParagraph"/>
        <w:numPr>
          <w:ilvl w:val="0"/>
          <w:numId w:val="27"/>
        </w:numPr>
        <w:spacing w:line="240" w:lineRule="auto"/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A. </w:t>
      </w:r>
      <w:r w:rsidR="00101F5D" w:rsidRPr="003C7823">
        <w:rPr>
          <w:rFonts w:cstheme="minorHAnsi"/>
          <w:sz w:val="22"/>
        </w:rPr>
        <w:t xml:space="preserve">Jenichen,  (2022). </w:t>
      </w:r>
      <w:r>
        <w:rPr>
          <w:rFonts w:cstheme="minorHAnsi"/>
          <w:sz w:val="22"/>
        </w:rPr>
        <w:t>‘</w:t>
      </w:r>
      <w:r w:rsidR="00101F5D" w:rsidRPr="003C7823">
        <w:rPr>
          <w:rFonts w:cstheme="minorHAnsi"/>
          <w:sz w:val="22"/>
        </w:rPr>
        <w:t>The politics of normative power Europe: norm entrepreneurs and contestation in the making of EU external human rights policy</w:t>
      </w:r>
      <w:r>
        <w:rPr>
          <w:rFonts w:cstheme="minorHAnsi"/>
          <w:sz w:val="22"/>
        </w:rPr>
        <w:t>’</w:t>
      </w:r>
      <w:r w:rsidR="00101F5D" w:rsidRPr="003C7823">
        <w:rPr>
          <w:rFonts w:cstheme="minorHAnsi"/>
          <w:sz w:val="22"/>
        </w:rPr>
        <w:t xml:space="preserve">. </w:t>
      </w:r>
      <w:r w:rsidR="00101F5D" w:rsidRPr="003C7823">
        <w:rPr>
          <w:rFonts w:cstheme="minorHAnsi"/>
          <w:i/>
          <w:iCs/>
          <w:sz w:val="22"/>
        </w:rPr>
        <w:t>JCMS: Journal of Common Market Studies</w:t>
      </w:r>
      <w:r w:rsidR="00101F5D" w:rsidRPr="003C7823">
        <w:rPr>
          <w:rFonts w:cstheme="minorHAnsi"/>
          <w:sz w:val="22"/>
        </w:rPr>
        <w:t xml:space="preserve">, </w:t>
      </w:r>
      <w:r w:rsidR="00101F5D" w:rsidRPr="003C7823">
        <w:rPr>
          <w:rFonts w:cstheme="minorHAnsi"/>
          <w:i/>
          <w:iCs/>
          <w:sz w:val="22"/>
        </w:rPr>
        <w:t>60</w:t>
      </w:r>
      <w:r w:rsidR="00101F5D" w:rsidRPr="003C7823">
        <w:rPr>
          <w:rFonts w:cstheme="minorHAnsi"/>
          <w:sz w:val="22"/>
        </w:rPr>
        <w:t>(5), 1299-1315.</w:t>
      </w:r>
    </w:p>
    <w:p w14:paraId="4B38F755" w14:textId="2DCA7F76" w:rsidR="006C09CB" w:rsidRPr="003C7823" w:rsidRDefault="00892730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B. </w:t>
      </w:r>
      <w:r w:rsidR="006C09CB" w:rsidRPr="003C7823">
        <w:rPr>
          <w:rFonts w:cstheme="minorHAnsi"/>
          <w:sz w:val="22"/>
        </w:rPr>
        <w:t xml:space="preserve">Kaussler,’ European Union constructive engagement with Iran (2000-2004): an exercise in conditional human rights diplomacy’ (2008) </w:t>
      </w:r>
      <w:r w:rsidR="0035682F" w:rsidRPr="003C7823">
        <w:rPr>
          <w:rFonts w:cstheme="minorHAnsi"/>
          <w:i/>
          <w:iCs/>
          <w:sz w:val="22"/>
        </w:rPr>
        <w:t>41</w:t>
      </w:r>
      <w:r w:rsidR="0035682F" w:rsidRPr="003C7823">
        <w:rPr>
          <w:rFonts w:cstheme="minorHAnsi"/>
          <w:sz w:val="22"/>
        </w:rPr>
        <w:t xml:space="preserve">(iii) </w:t>
      </w:r>
      <w:r w:rsidR="006C09CB" w:rsidRPr="003C7823">
        <w:rPr>
          <w:rFonts w:cstheme="minorHAnsi"/>
          <w:i/>
          <w:iCs/>
          <w:sz w:val="22"/>
        </w:rPr>
        <w:t>Iranian Studies</w:t>
      </w:r>
      <w:r w:rsidR="006C09CB" w:rsidRPr="003C7823">
        <w:rPr>
          <w:rFonts w:cstheme="minorHAnsi"/>
          <w:sz w:val="22"/>
        </w:rPr>
        <w:t xml:space="preserve"> 269-295.</w:t>
      </w:r>
    </w:p>
    <w:p w14:paraId="637553E4" w14:textId="2EA5CD1D" w:rsidR="006C09CB" w:rsidRPr="003C7823" w:rsidRDefault="00892730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J. </w:t>
      </w:r>
      <w:r w:rsidR="006C09CB" w:rsidRPr="003C7823">
        <w:rPr>
          <w:rFonts w:cstheme="minorHAnsi"/>
          <w:sz w:val="22"/>
        </w:rPr>
        <w:t xml:space="preserve">Kelley, ‘New Wine in Old Wineskins: Promoting Political Reforms through the New European Neighbourhood Policy’ (2006) 44:1 </w:t>
      </w:r>
      <w:r w:rsidR="006C09CB" w:rsidRPr="003C7823">
        <w:rPr>
          <w:rFonts w:cstheme="minorHAnsi"/>
          <w:i/>
          <w:iCs/>
          <w:sz w:val="22"/>
        </w:rPr>
        <w:t>Journal of Common Market Studies</w:t>
      </w:r>
      <w:r w:rsidR="006C09CB" w:rsidRPr="003C7823">
        <w:rPr>
          <w:rFonts w:cstheme="minorHAnsi"/>
          <w:sz w:val="22"/>
        </w:rPr>
        <w:t xml:space="preserve"> 29.</w:t>
      </w:r>
    </w:p>
    <w:p w14:paraId="27202DC4" w14:textId="214B0A44" w:rsidR="006C09CB" w:rsidRPr="003C7823" w:rsidRDefault="006C312D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  <w:lang w:val="de-AT"/>
        </w:rPr>
        <w:t xml:space="preserve">K. </w:t>
      </w:r>
      <w:r w:rsidR="006C09CB" w:rsidRPr="003C7823">
        <w:rPr>
          <w:rFonts w:cstheme="minorHAnsi"/>
          <w:sz w:val="22"/>
          <w:lang w:val="de-AT"/>
        </w:rPr>
        <w:t xml:space="preserve">Kinzelbach, and J.  Kozma. </w:t>
      </w:r>
      <w:r w:rsidR="006C09CB" w:rsidRPr="003C7823">
        <w:rPr>
          <w:rFonts w:cstheme="minorHAnsi"/>
          <w:sz w:val="22"/>
        </w:rPr>
        <w:t xml:space="preserve">‘Portraying Normative Legitimacy: The EU in Need of Institutional Safeguards for Human Rights’ (2009) 10:9 </w:t>
      </w:r>
      <w:r w:rsidR="006C09CB" w:rsidRPr="003C7823">
        <w:rPr>
          <w:rFonts w:cstheme="minorHAnsi"/>
          <w:i/>
          <w:iCs/>
          <w:sz w:val="22"/>
        </w:rPr>
        <w:t xml:space="preserve">Perspectives </w:t>
      </w:r>
      <w:r w:rsidR="002066C9" w:rsidRPr="003C7823">
        <w:rPr>
          <w:rFonts w:cstheme="minorHAnsi"/>
          <w:i/>
          <w:iCs/>
          <w:sz w:val="22"/>
        </w:rPr>
        <w:t>o</w:t>
      </w:r>
      <w:r w:rsidR="006C09CB" w:rsidRPr="003C7823">
        <w:rPr>
          <w:rFonts w:cstheme="minorHAnsi"/>
          <w:i/>
          <w:iCs/>
          <w:sz w:val="22"/>
        </w:rPr>
        <w:t>n European Politics &amp; Society</w:t>
      </w:r>
      <w:r w:rsidR="006C09CB" w:rsidRPr="003C7823">
        <w:rPr>
          <w:rFonts w:cstheme="minorHAnsi"/>
          <w:sz w:val="22"/>
        </w:rPr>
        <w:t xml:space="preserve"> 603-620. </w:t>
      </w:r>
    </w:p>
    <w:p w14:paraId="18888D2D" w14:textId="14D006EA" w:rsidR="006C09CB" w:rsidRPr="003C7823" w:rsidRDefault="006C312D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M. </w:t>
      </w:r>
      <w:r w:rsidR="006C09CB" w:rsidRPr="003C7823">
        <w:rPr>
          <w:rFonts w:cstheme="minorHAnsi"/>
          <w:sz w:val="22"/>
        </w:rPr>
        <w:t xml:space="preserve">Kurki, ‘ Governmentality and EU democracy promotion: The European instrument for democracy and human rights and the construction of democratic civil societies’. (2011) </w:t>
      </w:r>
      <w:r w:rsidR="002066C9" w:rsidRPr="003C7823">
        <w:rPr>
          <w:rFonts w:cstheme="minorHAnsi"/>
          <w:sz w:val="22"/>
        </w:rPr>
        <w:t xml:space="preserve">5(4) </w:t>
      </w:r>
      <w:r w:rsidR="006C09CB" w:rsidRPr="003C7823">
        <w:rPr>
          <w:rFonts w:cstheme="minorHAnsi"/>
          <w:i/>
          <w:sz w:val="22"/>
        </w:rPr>
        <w:t>International Political Sociology</w:t>
      </w:r>
      <w:r w:rsidR="006C09CB" w:rsidRPr="003C7823">
        <w:rPr>
          <w:rFonts w:cstheme="minorHAnsi"/>
          <w:sz w:val="22"/>
        </w:rPr>
        <w:t xml:space="preserve"> 349-66.</w:t>
      </w:r>
    </w:p>
    <w:p w14:paraId="499CAA13" w14:textId="70DA3A71" w:rsidR="006C09CB" w:rsidRPr="003C7823" w:rsidRDefault="00272F1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M. </w:t>
      </w:r>
      <w:r w:rsidR="006C09CB" w:rsidRPr="003C7823">
        <w:rPr>
          <w:rFonts w:cstheme="minorHAnsi"/>
          <w:sz w:val="22"/>
        </w:rPr>
        <w:t xml:space="preserve">Lerch, </w:t>
      </w:r>
      <w:r>
        <w:rPr>
          <w:rFonts w:cstheme="minorHAnsi"/>
          <w:sz w:val="22"/>
        </w:rPr>
        <w:t>and</w:t>
      </w:r>
      <w:r w:rsidR="006C09CB" w:rsidRPr="003C7823">
        <w:rPr>
          <w:rFonts w:cstheme="minorHAnsi"/>
          <w:sz w:val="22"/>
        </w:rPr>
        <w:t xml:space="preserve"> G. Schwellnus. ‘Normative by nature? The role of coherence in justifying the EU's external human rights policy’ (2006) 13:2 </w:t>
      </w:r>
      <w:r w:rsidR="006C09CB" w:rsidRPr="003C7823">
        <w:rPr>
          <w:rFonts w:cstheme="minorHAnsi"/>
          <w:i/>
          <w:iCs/>
          <w:sz w:val="22"/>
        </w:rPr>
        <w:t>Journal of European Public Policy</w:t>
      </w:r>
      <w:r w:rsidR="006C09CB" w:rsidRPr="003C7823">
        <w:rPr>
          <w:rFonts w:cstheme="minorHAnsi"/>
          <w:sz w:val="22"/>
        </w:rPr>
        <w:t xml:space="preserve"> 304-321.</w:t>
      </w:r>
    </w:p>
    <w:p w14:paraId="7E7DF9FF" w14:textId="4CFB8C9E" w:rsidR="000458D1" w:rsidRPr="003C7823" w:rsidRDefault="00272F19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L. </w:t>
      </w:r>
      <w:r w:rsidR="000458D1" w:rsidRPr="003C7823">
        <w:rPr>
          <w:rFonts w:cstheme="minorHAnsi"/>
          <w:sz w:val="22"/>
        </w:rPr>
        <w:t>Luciani, The EU’s hegemonic interventions in the South Caucasus: Constructing ‘civil’</w:t>
      </w:r>
      <w:r>
        <w:rPr>
          <w:rFonts w:cstheme="minorHAnsi"/>
          <w:sz w:val="22"/>
        </w:rPr>
        <w:t xml:space="preserve"> </w:t>
      </w:r>
      <w:r w:rsidR="000458D1" w:rsidRPr="003C7823">
        <w:rPr>
          <w:rFonts w:cstheme="minorHAnsi"/>
          <w:sz w:val="22"/>
        </w:rPr>
        <w:t xml:space="preserve">society, depoliticising human rights? </w:t>
      </w:r>
      <w:r w:rsidR="002066C9" w:rsidRPr="003C7823">
        <w:rPr>
          <w:rFonts w:cstheme="minorHAnsi"/>
          <w:sz w:val="22"/>
        </w:rPr>
        <w:t xml:space="preserve">(2021). </w:t>
      </w:r>
      <w:r w:rsidR="002066C9" w:rsidRPr="003C7823">
        <w:rPr>
          <w:rFonts w:cstheme="minorHAnsi"/>
          <w:i/>
          <w:iCs/>
          <w:sz w:val="22"/>
        </w:rPr>
        <w:t>56</w:t>
      </w:r>
      <w:r w:rsidR="002066C9" w:rsidRPr="003C7823">
        <w:rPr>
          <w:rFonts w:cstheme="minorHAnsi"/>
          <w:sz w:val="22"/>
        </w:rPr>
        <w:t xml:space="preserve">(1) </w:t>
      </w:r>
      <w:r w:rsidR="000458D1" w:rsidRPr="003C7823">
        <w:rPr>
          <w:rFonts w:cstheme="minorHAnsi"/>
          <w:i/>
          <w:iCs/>
          <w:sz w:val="22"/>
        </w:rPr>
        <w:t>Cooperation and Conflict</w:t>
      </w:r>
      <w:r w:rsidR="000458D1" w:rsidRPr="003C7823">
        <w:rPr>
          <w:rFonts w:cstheme="minorHAnsi"/>
          <w:sz w:val="22"/>
        </w:rPr>
        <w:t>, 101-120.</w:t>
      </w:r>
    </w:p>
    <w:p w14:paraId="1A35739F" w14:textId="23D86F08" w:rsidR="006C09CB" w:rsidRPr="003C7823" w:rsidRDefault="00DE219C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 xml:space="preserve">M.G. </w:t>
      </w:r>
      <w:r w:rsidR="006C09CB" w:rsidRPr="003C7823">
        <w:rPr>
          <w:rFonts w:cstheme="minorHAnsi"/>
          <w:sz w:val="22"/>
        </w:rPr>
        <w:t xml:space="preserve">Manea,’Human rights and the interregional dialogue between Asia and Europe: ASEAN-EU relations and ASEM (2008) 21:3 </w:t>
      </w:r>
      <w:r w:rsidR="006C09CB" w:rsidRPr="003C7823">
        <w:rPr>
          <w:rFonts w:cstheme="minorHAnsi"/>
          <w:i/>
          <w:iCs/>
          <w:sz w:val="22"/>
        </w:rPr>
        <w:t>The Pacific Review</w:t>
      </w:r>
      <w:r w:rsidR="006C09CB" w:rsidRPr="003C7823">
        <w:rPr>
          <w:rFonts w:cstheme="minorHAnsi"/>
          <w:sz w:val="22"/>
        </w:rPr>
        <w:t xml:space="preserve"> 396</w:t>
      </w:r>
    </w:p>
    <w:p w14:paraId="021E7B0C" w14:textId="02CE3B8D" w:rsidR="00A644A1" w:rsidRPr="003E7D67" w:rsidRDefault="00DE219C" w:rsidP="003E7D67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 w:rsidRPr="00DE219C">
        <w:rPr>
          <w:rFonts w:cstheme="minorHAnsi"/>
          <w:color w:val="222222"/>
          <w:sz w:val="22"/>
          <w:shd w:val="clear" w:color="auto" w:fill="FFFFFF"/>
        </w:rPr>
        <w:t xml:space="preserve">L. </w:t>
      </w:r>
      <w:r w:rsidR="006C09CB" w:rsidRPr="00DE219C">
        <w:rPr>
          <w:rFonts w:cstheme="minorHAnsi"/>
          <w:color w:val="222222"/>
          <w:sz w:val="22"/>
          <w:shd w:val="clear" w:color="auto" w:fill="FFFFFF"/>
        </w:rPr>
        <w:t xml:space="preserve">McKenzie, </w:t>
      </w:r>
      <w:r w:rsidRPr="00DE219C">
        <w:rPr>
          <w:rFonts w:cstheme="minorHAnsi"/>
          <w:color w:val="222222"/>
          <w:sz w:val="22"/>
          <w:shd w:val="clear" w:color="auto" w:fill="FFFFFF"/>
        </w:rPr>
        <w:t>and K.L.</w:t>
      </w:r>
      <w:r w:rsidR="006C09CB" w:rsidRPr="00DE219C">
        <w:rPr>
          <w:rFonts w:cstheme="minorHAnsi"/>
          <w:color w:val="222222"/>
          <w:sz w:val="22"/>
          <w:shd w:val="clear" w:color="auto" w:fill="FFFFFF"/>
        </w:rPr>
        <w:t xml:space="preserve"> Meissner,  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‘Human rights conditionality in European Union trade negotiations: The case of the EU–Singapore FTA’.(2017) 55(4) </w:t>
      </w:r>
      <w:r w:rsidR="006C09CB" w:rsidRPr="003C7823">
        <w:rPr>
          <w:rFonts w:cstheme="minorHAnsi"/>
          <w:i/>
          <w:iCs/>
          <w:color w:val="222222"/>
          <w:sz w:val="22"/>
        </w:rPr>
        <w:t>JCMS: Journal of Common Market Studies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>, 832-849</w:t>
      </w:r>
      <w:r w:rsidR="003E7D67">
        <w:rPr>
          <w:rFonts w:cstheme="minorHAnsi"/>
          <w:color w:val="222222"/>
          <w:sz w:val="22"/>
          <w:shd w:val="clear" w:color="auto" w:fill="FFFFFF"/>
        </w:rPr>
        <w:t xml:space="preserve"> OR </w:t>
      </w:r>
      <w:r w:rsidR="006C09CB" w:rsidRPr="003E7D67">
        <w:rPr>
          <w:rFonts w:cstheme="minorHAnsi"/>
          <w:color w:val="222222"/>
          <w:sz w:val="22"/>
          <w:shd w:val="clear" w:color="auto" w:fill="FFFFFF"/>
        </w:rPr>
        <w:t xml:space="preserve">Meissner, K. L., &amp; McKenzie, L. ‘The paradox of human rights conditionality in EU trade policy: when strategic interests drive policy outcomes’. (2019) 26(9) </w:t>
      </w:r>
      <w:r w:rsidR="006C09CB" w:rsidRPr="003E7D67">
        <w:rPr>
          <w:rFonts w:cstheme="minorHAnsi"/>
          <w:i/>
          <w:iCs/>
          <w:color w:val="222222"/>
          <w:sz w:val="22"/>
        </w:rPr>
        <w:t>Journal of European Public Policy</w:t>
      </w:r>
      <w:r w:rsidR="006C09CB" w:rsidRPr="003E7D67">
        <w:rPr>
          <w:rFonts w:cstheme="minorHAnsi"/>
          <w:color w:val="222222"/>
          <w:sz w:val="22"/>
          <w:shd w:val="clear" w:color="auto" w:fill="FFFFFF"/>
        </w:rPr>
        <w:t>, 1273-1291</w:t>
      </w:r>
      <w:r w:rsidR="003E7D67">
        <w:rPr>
          <w:rFonts w:cstheme="minorHAnsi"/>
          <w:color w:val="222222"/>
          <w:sz w:val="22"/>
          <w:shd w:val="clear" w:color="auto" w:fill="FFFFFF"/>
        </w:rPr>
        <w:t xml:space="preserve">, OR </w:t>
      </w:r>
      <w:r w:rsidR="00A644A1" w:rsidRPr="003E7D67">
        <w:rPr>
          <w:rFonts w:cstheme="minorHAnsi"/>
          <w:sz w:val="22"/>
        </w:rPr>
        <w:t xml:space="preserve">Meissner, K. L. (2021). Requesting trade sanctions? The European Parliament and the generalized scheme of preferences. </w:t>
      </w:r>
      <w:r w:rsidR="00A644A1" w:rsidRPr="003E7D67">
        <w:rPr>
          <w:rFonts w:cstheme="minorHAnsi"/>
          <w:i/>
          <w:iCs/>
          <w:sz w:val="22"/>
        </w:rPr>
        <w:t>JCMS: Journal of Common Market Studies</w:t>
      </w:r>
      <w:r w:rsidR="00A644A1" w:rsidRPr="003E7D67">
        <w:rPr>
          <w:rFonts w:cstheme="minorHAnsi"/>
          <w:sz w:val="22"/>
        </w:rPr>
        <w:t xml:space="preserve">, </w:t>
      </w:r>
      <w:r w:rsidR="00A644A1" w:rsidRPr="003E7D67">
        <w:rPr>
          <w:rFonts w:cstheme="minorHAnsi"/>
          <w:i/>
          <w:iCs/>
          <w:sz w:val="22"/>
        </w:rPr>
        <w:t>59</w:t>
      </w:r>
      <w:r w:rsidR="00A644A1" w:rsidRPr="003E7D67">
        <w:rPr>
          <w:rFonts w:cstheme="minorHAnsi"/>
          <w:sz w:val="22"/>
        </w:rPr>
        <w:t>(1), 91-107.</w:t>
      </w:r>
    </w:p>
    <w:p w14:paraId="6B447147" w14:textId="075E2C2F" w:rsidR="006C09CB" w:rsidRPr="003C7823" w:rsidRDefault="003E7D67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J. </w:t>
      </w:r>
      <w:r w:rsidR="006C09CB" w:rsidRPr="003C7823">
        <w:rPr>
          <w:rFonts w:cstheme="minorHAnsi"/>
          <w:sz w:val="22"/>
        </w:rPr>
        <w:t xml:space="preserve">Men .’Between Human Rights and Sovereignty—An Examination of EU–China Political Relations’. (2011) 17 </w:t>
      </w:r>
      <w:r w:rsidR="006C09CB" w:rsidRPr="003C7823">
        <w:rPr>
          <w:rFonts w:cstheme="minorHAnsi"/>
          <w:i/>
          <w:sz w:val="22"/>
        </w:rPr>
        <w:t>European Law Journal</w:t>
      </w:r>
      <w:r w:rsidR="006C09CB" w:rsidRPr="003C7823">
        <w:rPr>
          <w:rFonts w:cstheme="minorHAnsi"/>
          <w:sz w:val="22"/>
        </w:rPr>
        <w:t xml:space="preserve"> 534–550. </w:t>
      </w:r>
    </w:p>
    <w:p w14:paraId="3F584C3C" w14:textId="3878CBA2" w:rsidR="00BE0E1D" w:rsidRPr="003C7823" w:rsidRDefault="003E7D67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P. </w:t>
      </w:r>
      <w:r w:rsidR="00BE0E1D" w:rsidRPr="003C7823">
        <w:rPr>
          <w:rFonts w:cstheme="minorHAnsi"/>
          <w:sz w:val="22"/>
        </w:rPr>
        <w:t xml:space="preserve">Müller, &amp; </w:t>
      </w:r>
      <w:r>
        <w:rPr>
          <w:rFonts w:cstheme="minorHAnsi"/>
          <w:sz w:val="22"/>
        </w:rPr>
        <w:t xml:space="preserve">P. </w:t>
      </w:r>
      <w:r w:rsidR="00BE0E1D" w:rsidRPr="003C7823">
        <w:rPr>
          <w:rFonts w:cstheme="minorHAnsi"/>
          <w:sz w:val="22"/>
        </w:rPr>
        <w:t xml:space="preserve">Slominski, </w:t>
      </w:r>
      <w:r>
        <w:rPr>
          <w:rFonts w:cstheme="minorHAnsi"/>
          <w:sz w:val="22"/>
        </w:rPr>
        <w:t>‘</w:t>
      </w:r>
      <w:r w:rsidR="00BE0E1D" w:rsidRPr="003C7823">
        <w:rPr>
          <w:rFonts w:cstheme="minorHAnsi"/>
          <w:sz w:val="22"/>
        </w:rPr>
        <w:t>Breaking the legal link but not the law? The externalization of EU migration control through orchestration in the Central Mediterranean</w:t>
      </w:r>
      <w:r w:rsidR="00A22D4B">
        <w:rPr>
          <w:rFonts w:cstheme="minorHAnsi"/>
          <w:sz w:val="22"/>
        </w:rPr>
        <w:t>’</w:t>
      </w:r>
      <w:r w:rsidR="00BE0E1D" w:rsidRPr="003C7823">
        <w:rPr>
          <w:rFonts w:cstheme="minorHAnsi"/>
          <w:sz w:val="22"/>
        </w:rPr>
        <w:t>.</w:t>
      </w:r>
      <w:r w:rsidR="009E760B" w:rsidRPr="003C7823">
        <w:rPr>
          <w:rFonts w:cstheme="minorHAnsi"/>
          <w:sz w:val="22"/>
        </w:rPr>
        <w:t xml:space="preserve"> (2021)</w:t>
      </w:r>
      <w:r w:rsidR="00BE0E1D" w:rsidRPr="003C7823">
        <w:rPr>
          <w:rFonts w:cstheme="minorHAnsi"/>
          <w:sz w:val="22"/>
        </w:rPr>
        <w:t xml:space="preserve"> </w:t>
      </w:r>
      <w:r w:rsidR="009E760B" w:rsidRPr="003C7823">
        <w:rPr>
          <w:rFonts w:cstheme="minorHAnsi"/>
          <w:i/>
          <w:iCs/>
          <w:sz w:val="22"/>
        </w:rPr>
        <w:t>28</w:t>
      </w:r>
      <w:r w:rsidR="009E760B" w:rsidRPr="003C7823">
        <w:rPr>
          <w:rFonts w:cstheme="minorHAnsi"/>
          <w:sz w:val="22"/>
        </w:rPr>
        <w:t xml:space="preserve">(6) </w:t>
      </w:r>
      <w:r w:rsidR="00BE0E1D" w:rsidRPr="003C7823">
        <w:rPr>
          <w:rFonts w:cstheme="minorHAnsi"/>
          <w:i/>
          <w:iCs/>
          <w:sz w:val="22"/>
        </w:rPr>
        <w:t>Journal of European Public Policy</w:t>
      </w:r>
      <w:r w:rsidR="00BE0E1D" w:rsidRPr="003C7823">
        <w:rPr>
          <w:rFonts w:cstheme="minorHAnsi"/>
          <w:sz w:val="22"/>
        </w:rPr>
        <w:t>, 801-820.</w:t>
      </w:r>
    </w:p>
    <w:p w14:paraId="3BBAA54F" w14:textId="25340409" w:rsidR="006C09CB" w:rsidRPr="003C7823" w:rsidRDefault="0028300C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  <w:lang w:val="fr-FR"/>
        </w:rPr>
        <w:t xml:space="preserve">D.G </w:t>
      </w:r>
      <w:r w:rsidR="006C09CB" w:rsidRPr="003C7823">
        <w:rPr>
          <w:rFonts w:cstheme="minorHAnsi"/>
          <w:sz w:val="22"/>
          <w:lang w:val="fr-FR"/>
        </w:rPr>
        <w:t xml:space="preserve">Nogueras, D.J. Linan, and L.M. Hinojosa Martinez. </w:t>
      </w:r>
      <w:r w:rsidR="006C09CB" w:rsidRPr="003C7823">
        <w:rPr>
          <w:rFonts w:cstheme="minorHAnsi"/>
          <w:sz w:val="22"/>
        </w:rPr>
        <w:t xml:space="preserve">‘Human Rights Conditionality in the External Trade of the European Union: Legal and Legitimacy Problems’ (2001) 7 </w:t>
      </w:r>
      <w:r w:rsidR="00296C1C" w:rsidRPr="003C7823">
        <w:rPr>
          <w:rFonts w:cstheme="minorHAnsi"/>
          <w:i/>
          <w:iCs/>
          <w:sz w:val="22"/>
        </w:rPr>
        <w:t>Columbia Journal of European Law</w:t>
      </w:r>
      <w:r w:rsidR="006C09CB" w:rsidRPr="003C7823">
        <w:rPr>
          <w:rFonts w:cstheme="minorHAnsi"/>
          <w:i/>
          <w:iCs/>
          <w:sz w:val="22"/>
        </w:rPr>
        <w:t>.</w:t>
      </w:r>
      <w:r w:rsidR="006C09CB" w:rsidRPr="003C7823">
        <w:rPr>
          <w:rFonts w:cstheme="minorHAnsi"/>
          <w:sz w:val="22"/>
        </w:rPr>
        <w:t xml:space="preserve"> 307.</w:t>
      </w:r>
    </w:p>
    <w:p w14:paraId="002C5E14" w14:textId="61800DB1" w:rsidR="00847A6A" w:rsidRPr="003C7823" w:rsidRDefault="0028300C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R. </w:t>
      </w:r>
      <w:r w:rsidR="00847A6A" w:rsidRPr="003C7823">
        <w:rPr>
          <w:rFonts w:cstheme="minorHAnsi"/>
          <w:sz w:val="22"/>
        </w:rPr>
        <w:t xml:space="preserve">Noureddine, </w:t>
      </w:r>
      <w:r>
        <w:rPr>
          <w:rFonts w:cstheme="minorHAnsi"/>
          <w:sz w:val="22"/>
        </w:rPr>
        <w:t>‘</w:t>
      </w:r>
      <w:r w:rsidR="00847A6A" w:rsidRPr="003C7823">
        <w:rPr>
          <w:rFonts w:cstheme="minorHAnsi"/>
          <w:sz w:val="22"/>
        </w:rPr>
        <w:t>Normative Power Europe and in Field of Human Rights: is the EU a Force for Good in the World?</w:t>
      </w:r>
      <w:r>
        <w:rPr>
          <w:rFonts w:cstheme="minorHAnsi"/>
          <w:sz w:val="22"/>
        </w:rPr>
        <w:t>’</w:t>
      </w:r>
      <w:r w:rsidR="00847A6A" w:rsidRPr="003C7823">
        <w:rPr>
          <w:rFonts w:cstheme="minorHAnsi"/>
          <w:sz w:val="22"/>
        </w:rPr>
        <w:t xml:space="preserve">. </w:t>
      </w:r>
      <w:r w:rsidR="00296C1C" w:rsidRPr="003C7823">
        <w:rPr>
          <w:rFonts w:cstheme="minorHAnsi"/>
          <w:sz w:val="22"/>
        </w:rPr>
        <w:t xml:space="preserve">(2021). </w:t>
      </w:r>
      <w:r w:rsidR="00296C1C" w:rsidRPr="003C7823">
        <w:rPr>
          <w:rFonts w:cstheme="minorHAnsi"/>
          <w:i/>
          <w:iCs/>
          <w:sz w:val="22"/>
        </w:rPr>
        <w:t>8</w:t>
      </w:r>
      <w:r w:rsidR="00296C1C" w:rsidRPr="003C7823">
        <w:rPr>
          <w:rFonts w:cstheme="minorHAnsi"/>
          <w:sz w:val="22"/>
        </w:rPr>
        <w:t xml:space="preserve">(2) </w:t>
      </w:r>
      <w:r w:rsidR="00847A6A" w:rsidRPr="003C7823">
        <w:rPr>
          <w:rFonts w:cstheme="minorHAnsi"/>
          <w:i/>
          <w:iCs/>
          <w:sz w:val="22"/>
        </w:rPr>
        <w:t>Australian and New Zealand Journal of European Studies</w:t>
      </w:r>
      <w:r w:rsidR="00847A6A" w:rsidRPr="003C7823">
        <w:rPr>
          <w:rFonts w:cstheme="minorHAnsi"/>
          <w:sz w:val="22"/>
        </w:rPr>
        <w:t xml:space="preserve"> </w:t>
      </w:r>
      <w:r w:rsidR="002D1A98" w:rsidRPr="003C7823">
        <w:rPr>
          <w:rFonts w:cstheme="minorHAnsi"/>
          <w:sz w:val="22"/>
        </w:rPr>
        <w:t>111-118</w:t>
      </w:r>
    </w:p>
    <w:p w14:paraId="544FA529" w14:textId="708A4821" w:rsidR="00B1028D" w:rsidRPr="003C7823" w:rsidRDefault="0028300C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F. </w:t>
      </w:r>
      <w:r w:rsidR="00B1028D" w:rsidRPr="003C7823">
        <w:rPr>
          <w:rFonts w:cstheme="minorHAnsi"/>
          <w:sz w:val="22"/>
        </w:rPr>
        <w:t xml:space="preserve">Plank, </w:t>
      </w:r>
      <w:r>
        <w:rPr>
          <w:rFonts w:cstheme="minorHAnsi"/>
          <w:sz w:val="22"/>
        </w:rPr>
        <w:t>N.</w:t>
      </w:r>
      <w:r w:rsidR="00B1028D" w:rsidRPr="003C7823">
        <w:rPr>
          <w:rFonts w:cstheme="minorHAnsi"/>
          <w:sz w:val="22"/>
        </w:rPr>
        <w:t xml:space="preserve"> Keijzer, and A</w:t>
      </w:r>
      <w:r w:rsidR="002D1A98" w:rsidRPr="003C7823">
        <w:rPr>
          <w:rFonts w:cstheme="minorHAnsi"/>
          <w:sz w:val="22"/>
        </w:rPr>
        <w:t>.</w:t>
      </w:r>
      <w:r w:rsidR="00B1028D" w:rsidRPr="003C7823">
        <w:rPr>
          <w:rFonts w:cstheme="minorHAnsi"/>
          <w:sz w:val="22"/>
        </w:rPr>
        <w:t xml:space="preserve">Niemann. </w:t>
      </w:r>
      <w:r w:rsidR="002D1A98" w:rsidRPr="003C7823">
        <w:rPr>
          <w:rFonts w:cstheme="minorHAnsi"/>
          <w:sz w:val="22"/>
        </w:rPr>
        <w:t>‘</w:t>
      </w:r>
      <w:r w:rsidR="00B1028D" w:rsidRPr="003C7823">
        <w:rPr>
          <w:rFonts w:cstheme="minorHAnsi"/>
          <w:sz w:val="22"/>
        </w:rPr>
        <w:t>Outside</w:t>
      </w:r>
      <w:r w:rsidR="00B1028D" w:rsidRPr="003C7823">
        <w:rPr>
          <w:rFonts w:ascii="Times New Roman" w:hAnsi="Times New Roman"/>
          <w:sz w:val="22"/>
        </w:rPr>
        <w:t>‐</w:t>
      </w:r>
      <w:r w:rsidR="00B1028D" w:rsidRPr="003C7823">
        <w:rPr>
          <w:rFonts w:cstheme="minorHAnsi"/>
          <w:sz w:val="22"/>
        </w:rPr>
        <w:t>in Politicization of EU–Western Africa Relations: What Role for Civil Society Organizations?</w:t>
      </w:r>
      <w:r w:rsidR="002D1A98" w:rsidRPr="003C7823">
        <w:rPr>
          <w:rFonts w:cstheme="minorHAnsi"/>
          <w:sz w:val="22"/>
        </w:rPr>
        <w:t>’</w:t>
      </w:r>
      <w:r w:rsidR="00B1028D" w:rsidRPr="003C7823">
        <w:rPr>
          <w:rFonts w:cstheme="minorHAnsi"/>
          <w:sz w:val="22"/>
        </w:rPr>
        <w:t xml:space="preserve"> </w:t>
      </w:r>
      <w:r w:rsidR="006D211E" w:rsidRPr="003C7823">
        <w:rPr>
          <w:rFonts w:cstheme="minorHAnsi"/>
          <w:sz w:val="22"/>
        </w:rPr>
        <w:t xml:space="preserve">(2021) 59.1 </w:t>
      </w:r>
      <w:r w:rsidR="00B1028D" w:rsidRPr="003C7823">
        <w:rPr>
          <w:rFonts w:cstheme="minorHAnsi"/>
          <w:i/>
          <w:iCs/>
          <w:sz w:val="22"/>
        </w:rPr>
        <w:t>JCMS: Journal of Common Market Studies</w:t>
      </w:r>
      <w:r w:rsidR="00B1028D" w:rsidRPr="003C7823">
        <w:rPr>
          <w:rFonts w:cstheme="minorHAnsi"/>
          <w:sz w:val="22"/>
        </w:rPr>
        <w:t xml:space="preserve"> 161-179.</w:t>
      </w:r>
    </w:p>
    <w:p w14:paraId="35BF680F" w14:textId="08CC8EFB" w:rsidR="000A1BA6" w:rsidRPr="003C7823" w:rsidRDefault="00AF0472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J.D. </w:t>
      </w:r>
      <w:r w:rsidR="000A1BA6" w:rsidRPr="003C7823">
        <w:rPr>
          <w:rFonts w:cstheme="minorHAnsi"/>
          <w:sz w:val="22"/>
        </w:rPr>
        <w:t xml:space="preserve">Saltnes, &amp; </w:t>
      </w:r>
      <w:r>
        <w:rPr>
          <w:rFonts w:cstheme="minorHAnsi"/>
          <w:sz w:val="22"/>
        </w:rPr>
        <w:t xml:space="preserve">M. </w:t>
      </w:r>
      <w:r w:rsidR="000A1BA6" w:rsidRPr="003C7823">
        <w:rPr>
          <w:rFonts w:cstheme="minorHAnsi"/>
          <w:sz w:val="22"/>
        </w:rPr>
        <w:t xml:space="preserve">Thiel, </w:t>
      </w:r>
      <w:r w:rsidR="006D211E" w:rsidRPr="003C7823">
        <w:rPr>
          <w:rFonts w:cstheme="minorHAnsi"/>
          <w:sz w:val="22"/>
        </w:rPr>
        <w:t>‘</w:t>
      </w:r>
      <w:r w:rsidR="000A1BA6" w:rsidRPr="003C7823">
        <w:rPr>
          <w:rFonts w:cstheme="minorHAnsi"/>
          <w:sz w:val="22"/>
        </w:rPr>
        <w:t>The Politicization of LGBTI Human Rights Norms in the EU</w:t>
      </w:r>
      <w:r w:rsidR="000A1BA6" w:rsidRPr="003C7823">
        <w:rPr>
          <w:rFonts w:ascii="Times New Roman" w:hAnsi="Times New Roman"/>
          <w:sz w:val="22"/>
        </w:rPr>
        <w:t>‐</w:t>
      </w:r>
      <w:r w:rsidR="000A1BA6" w:rsidRPr="003C7823">
        <w:rPr>
          <w:rFonts w:cstheme="minorHAnsi"/>
          <w:sz w:val="22"/>
        </w:rPr>
        <w:t>Uganda Development Partnership</w:t>
      </w:r>
      <w:r w:rsidR="006D211E" w:rsidRPr="003C7823">
        <w:rPr>
          <w:rFonts w:cstheme="minorHAnsi"/>
          <w:sz w:val="22"/>
        </w:rPr>
        <w:t>’ (2021).59</w:t>
      </w:r>
      <w:r w:rsidR="00EC3E7D">
        <w:rPr>
          <w:rFonts w:cstheme="minorHAnsi"/>
          <w:sz w:val="22"/>
        </w:rPr>
        <w:t>:1</w:t>
      </w:r>
      <w:r w:rsidR="000A1BA6" w:rsidRPr="003C7823">
        <w:rPr>
          <w:rFonts w:cstheme="minorHAnsi"/>
          <w:sz w:val="22"/>
        </w:rPr>
        <w:t xml:space="preserve">. </w:t>
      </w:r>
      <w:r w:rsidR="000A1BA6" w:rsidRPr="003C7823">
        <w:rPr>
          <w:rFonts w:cstheme="minorHAnsi"/>
          <w:i/>
          <w:iCs/>
          <w:sz w:val="22"/>
        </w:rPr>
        <w:t>JCMS: Journal of Common Market Studies</w:t>
      </w:r>
      <w:r w:rsidR="000A1BA6" w:rsidRPr="003C7823">
        <w:rPr>
          <w:rFonts w:cstheme="minorHAnsi"/>
          <w:sz w:val="22"/>
        </w:rPr>
        <w:t>, 108-125.</w:t>
      </w:r>
    </w:p>
    <w:p w14:paraId="02648C90" w14:textId="3DA60BD8" w:rsidR="006C09CB" w:rsidRPr="003C7823" w:rsidRDefault="00EC3E7D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A. </w:t>
      </w:r>
      <w:r w:rsidR="006C09CB" w:rsidRPr="003C7823">
        <w:rPr>
          <w:rFonts w:cstheme="minorHAnsi"/>
          <w:sz w:val="22"/>
        </w:rPr>
        <w:t xml:space="preserve">Sautenet,  ’The Current Status and Prospects of the ”Strategic Partnership” between the EU and China: Towards the Conclusion of a Partnership and Cooperation Agreement.’ (2007) 13 </w:t>
      </w:r>
      <w:r w:rsidR="006C09CB" w:rsidRPr="003C7823">
        <w:rPr>
          <w:rFonts w:cstheme="minorHAnsi"/>
          <w:i/>
          <w:sz w:val="22"/>
        </w:rPr>
        <w:t>European Law Journal</w:t>
      </w:r>
      <w:r w:rsidR="006C09CB" w:rsidRPr="003C7823">
        <w:rPr>
          <w:rFonts w:cstheme="minorHAnsi"/>
          <w:sz w:val="22"/>
        </w:rPr>
        <w:t xml:space="preserve"> 699–731. </w:t>
      </w:r>
    </w:p>
    <w:p w14:paraId="66712104" w14:textId="66BBC0D1" w:rsidR="006C09CB" w:rsidRPr="003C7823" w:rsidRDefault="00EC3E7D">
      <w:pPr>
        <w:pStyle w:val="ListParagraph"/>
        <w:numPr>
          <w:ilvl w:val="0"/>
          <w:numId w:val="27"/>
        </w:numPr>
        <w:rPr>
          <w:rFonts w:cstheme="minorHAnsi"/>
          <w:b/>
          <w:sz w:val="22"/>
        </w:rPr>
      </w:pPr>
      <w:r>
        <w:rPr>
          <w:rFonts w:cstheme="minorHAnsi"/>
          <w:sz w:val="22"/>
        </w:rPr>
        <w:t xml:space="preserve">K. </w:t>
      </w:r>
      <w:r w:rsidR="006C09CB" w:rsidRPr="003C7823">
        <w:rPr>
          <w:rFonts w:cstheme="minorHAnsi"/>
          <w:sz w:val="22"/>
        </w:rPr>
        <w:t>Schembera,.’</w:t>
      </w:r>
      <w:r w:rsidR="006C09CB" w:rsidRPr="003C7823">
        <w:rPr>
          <w:rStyle w:val="nlmarticle-title"/>
          <w:rFonts w:cstheme="minorHAnsi"/>
          <w:sz w:val="22"/>
        </w:rPr>
        <w:t xml:space="preserve">The rocky road of interregionalism: </w:t>
      </w:r>
      <w:r w:rsidR="006C09CB" w:rsidRPr="003C7823">
        <w:rPr>
          <w:rStyle w:val="singlehighlightclass"/>
          <w:rFonts w:cstheme="minorHAnsi"/>
          <w:sz w:val="22"/>
        </w:rPr>
        <w:t>EU</w:t>
      </w:r>
      <w:r w:rsidR="006C09CB" w:rsidRPr="003C7823">
        <w:rPr>
          <w:rStyle w:val="nlmarticle-title"/>
          <w:rFonts w:cstheme="minorHAnsi"/>
          <w:sz w:val="22"/>
        </w:rPr>
        <w:t xml:space="preserve"> sanctions against </w:t>
      </w:r>
      <w:r w:rsidR="006C09CB" w:rsidRPr="003C7823">
        <w:rPr>
          <w:rStyle w:val="singlehighlightclass"/>
          <w:rFonts w:cstheme="minorHAnsi"/>
          <w:sz w:val="22"/>
        </w:rPr>
        <w:t>human</w:t>
      </w:r>
      <w:r w:rsidR="006C09CB" w:rsidRPr="003C7823">
        <w:rPr>
          <w:rStyle w:val="nlmarticle-title"/>
          <w:rFonts w:cstheme="minorHAnsi"/>
          <w:sz w:val="22"/>
        </w:rPr>
        <w:t xml:space="preserve"> </w:t>
      </w:r>
      <w:r w:rsidR="006C09CB" w:rsidRPr="003C7823">
        <w:rPr>
          <w:rStyle w:val="singlehighlightclass"/>
          <w:rFonts w:cstheme="minorHAnsi"/>
          <w:sz w:val="22"/>
        </w:rPr>
        <w:t>rights</w:t>
      </w:r>
      <w:r w:rsidR="006C09CB" w:rsidRPr="003C7823">
        <w:rPr>
          <w:rStyle w:val="nlmarticle-title"/>
          <w:rFonts w:cstheme="minorHAnsi"/>
          <w:sz w:val="22"/>
        </w:rPr>
        <w:t>-violating Myanmar and repercussions on ASEAN–</w:t>
      </w:r>
      <w:r w:rsidR="006C09CB" w:rsidRPr="003C7823">
        <w:rPr>
          <w:rStyle w:val="singlehighlightclass"/>
          <w:rFonts w:cstheme="minorHAnsi"/>
          <w:sz w:val="22"/>
        </w:rPr>
        <w:t>EU</w:t>
      </w:r>
      <w:r w:rsidR="006C09CB" w:rsidRPr="003C7823">
        <w:rPr>
          <w:rStyle w:val="nlmarticle-title"/>
          <w:rFonts w:cstheme="minorHAnsi"/>
          <w:sz w:val="22"/>
        </w:rPr>
        <w:t xml:space="preserve"> relations’ (2016) 29:3  </w:t>
      </w:r>
      <w:r w:rsidR="006C09CB" w:rsidRPr="003C7823">
        <w:rPr>
          <w:rStyle w:val="nlmarticle-title"/>
          <w:rFonts w:cstheme="minorHAnsi"/>
          <w:i/>
          <w:sz w:val="22"/>
        </w:rPr>
        <w:t xml:space="preserve">Cambridge review of International Affairs </w:t>
      </w:r>
      <w:r w:rsidR="006C09CB" w:rsidRPr="003C7823">
        <w:rPr>
          <w:rStyle w:val="nlmarticle-title"/>
          <w:rFonts w:cstheme="minorHAnsi"/>
          <w:sz w:val="22"/>
        </w:rPr>
        <w:t>1022-1043.</w:t>
      </w:r>
    </w:p>
    <w:p w14:paraId="1D0C72D8" w14:textId="53219093" w:rsidR="006C09CB" w:rsidRPr="003C7823" w:rsidRDefault="00107C1F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  <w:lang w:val="de-AT"/>
        </w:rPr>
        <w:t xml:space="preserve">F. </w:t>
      </w:r>
      <w:r w:rsidR="006C09CB" w:rsidRPr="003C7823">
        <w:rPr>
          <w:rFonts w:cstheme="minorHAnsi"/>
          <w:sz w:val="22"/>
          <w:lang w:val="de-AT"/>
        </w:rPr>
        <w:t xml:space="preserve">Schimmelfennig, </w:t>
      </w:r>
      <w:r>
        <w:rPr>
          <w:rFonts w:cstheme="minorHAnsi"/>
          <w:sz w:val="22"/>
          <w:lang w:val="de-AT"/>
        </w:rPr>
        <w:t>and U.</w:t>
      </w:r>
      <w:r w:rsidR="006C09CB" w:rsidRPr="003C7823">
        <w:rPr>
          <w:rFonts w:cstheme="minorHAnsi"/>
          <w:sz w:val="22"/>
          <w:lang w:val="de-AT"/>
        </w:rPr>
        <w:t xml:space="preserve"> Sedelmeier. </w:t>
      </w:r>
      <w:r w:rsidR="00426019" w:rsidRPr="003C7823">
        <w:rPr>
          <w:rFonts w:cstheme="minorHAnsi"/>
          <w:sz w:val="22"/>
        </w:rPr>
        <w:t>‘</w:t>
      </w:r>
      <w:r w:rsidR="006C09CB" w:rsidRPr="003C7823">
        <w:rPr>
          <w:rFonts w:cstheme="minorHAnsi"/>
          <w:sz w:val="22"/>
        </w:rPr>
        <w:t>Governance by conditionality: EU rule transfer to the candidate countries of Central and Eastern Europe.</w:t>
      </w:r>
      <w:r w:rsidR="00426019" w:rsidRPr="003C7823">
        <w:rPr>
          <w:rFonts w:cstheme="minorHAnsi"/>
          <w:sz w:val="22"/>
        </w:rPr>
        <w:t>’</w:t>
      </w:r>
      <w:r w:rsidR="006C09CB" w:rsidRPr="003C7823">
        <w:rPr>
          <w:rFonts w:cstheme="minorHAnsi"/>
          <w:sz w:val="22"/>
        </w:rPr>
        <w:t xml:space="preserve"> (2004) 11:4 </w:t>
      </w:r>
      <w:r w:rsidR="006C09CB" w:rsidRPr="003C7823">
        <w:rPr>
          <w:rFonts w:cstheme="minorHAnsi"/>
          <w:i/>
          <w:iCs/>
          <w:sz w:val="22"/>
        </w:rPr>
        <w:t xml:space="preserve">Journal of European </w:t>
      </w:r>
      <w:r w:rsidR="00426019" w:rsidRPr="003C7823">
        <w:rPr>
          <w:rFonts w:cstheme="minorHAnsi"/>
          <w:i/>
          <w:iCs/>
          <w:sz w:val="22"/>
        </w:rPr>
        <w:t>Pu</w:t>
      </w:r>
      <w:r w:rsidR="006C09CB" w:rsidRPr="003C7823">
        <w:rPr>
          <w:rFonts w:cstheme="minorHAnsi"/>
          <w:i/>
          <w:iCs/>
          <w:sz w:val="22"/>
        </w:rPr>
        <w:t xml:space="preserve">blic </w:t>
      </w:r>
      <w:r w:rsidR="00426019" w:rsidRPr="003C7823">
        <w:rPr>
          <w:rFonts w:cstheme="minorHAnsi"/>
          <w:i/>
          <w:iCs/>
          <w:sz w:val="22"/>
        </w:rPr>
        <w:t>P</w:t>
      </w:r>
      <w:r w:rsidR="006C09CB" w:rsidRPr="003C7823">
        <w:rPr>
          <w:rFonts w:cstheme="minorHAnsi"/>
          <w:i/>
          <w:iCs/>
          <w:sz w:val="22"/>
        </w:rPr>
        <w:t>olicy</w:t>
      </w:r>
      <w:r w:rsidR="006C09CB" w:rsidRPr="003C7823">
        <w:rPr>
          <w:rFonts w:cstheme="minorHAnsi"/>
          <w:sz w:val="22"/>
        </w:rPr>
        <w:t xml:space="preserve"> 661-679.</w:t>
      </w:r>
    </w:p>
    <w:p w14:paraId="019E9187" w14:textId="16303A8B" w:rsidR="006C09CB" w:rsidRPr="003C7823" w:rsidRDefault="00107C1F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D. </w:t>
      </w:r>
      <w:r w:rsidR="006C09CB" w:rsidRPr="003C7823">
        <w:rPr>
          <w:rFonts w:cstheme="minorHAnsi"/>
          <w:sz w:val="22"/>
        </w:rPr>
        <w:t>Sicurelli, ‘</w:t>
      </w:r>
      <w:r w:rsidR="006C09CB" w:rsidRPr="003C7823">
        <w:rPr>
          <w:rStyle w:val="hlfld-title"/>
          <w:rFonts w:cstheme="minorHAnsi"/>
          <w:sz w:val="22"/>
        </w:rPr>
        <w:t>The conditions for effectiveness of EU human righ</w:t>
      </w:r>
      <w:r>
        <w:rPr>
          <w:rStyle w:val="hlfld-title"/>
          <w:rFonts w:cstheme="minorHAnsi"/>
          <w:sz w:val="22"/>
        </w:rPr>
        <w:t>t</w:t>
      </w:r>
      <w:r w:rsidR="006C09CB" w:rsidRPr="003C7823">
        <w:rPr>
          <w:rStyle w:val="hlfld-title"/>
          <w:rFonts w:cstheme="minorHAnsi"/>
          <w:sz w:val="22"/>
        </w:rPr>
        <w:t>s promotion in non-democratic states. A case study of Vietnam’</w:t>
      </w:r>
      <w:r w:rsidR="006C09CB" w:rsidRPr="003C7823">
        <w:rPr>
          <w:rFonts w:cstheme="minorHAnsi"/>
          <w:sz w:val="22"/>
        </w:rPr>
        <w:t xml:space="preserve"> (2017) 39:6 </w:t>
      </w:r>
      <w:r w:rsidR="006C09CB" w:rsidRPr="003C7823">
        <w:rPr>
          <w:rFonts w:cstheme="minorHAnsi"/>
          <w:i/>
          <w:sz w:val="22"/>
        </w:rPr>
        <w:t>Journal of European Integration</w:t>
      </w:r>
      <w:r w:rsidR="006C09CB" w:rsidRPr="003C7823">
        <w:rPr>
          <w:rFonts w:cstheme="minorHAnsi"/>
          <w:sz w:val="22"/>
        </w:rPr>
        <w:t xml:space="preserve"> 739-753</w:t>
      </w:r>
    </w:p>
    <w:p w14:paraId="66DB6F32" w14:textId="6BF3EBEB" w:rsidR="00C7610C" w:rsidRPr="003C7823" w:rsidRDefault="007463F1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P. </w:t>
      </w:r>
      <w:r w:rsidR="00C7610C" w:rsidRPr="003C7823">
        <w:rPr>
          <w:rFonts w:cstheme="minorHAnsi"/>
          <w:sz w:val="22"/>
        </w:rPr>
        <w:t xml:space="preserve">Slominski, &amp; </w:t>
      </w:r>
      <w:r>
        <w:rPr>
          <w:rFonts w:cstheme="minorHAnsi"/>
          <w:sz w:val="22"/>
        </w:rPr>
        <w:t xml:space="preserve">F. </w:t>
      </w:r>
      <w:r w:rsidR="00C7610C" w:rsidRPr="003C7823">
        <w:rPr>
          <w:rFonts w:cstheme="minorHAnsi"/>
          <w:sz w:val="22"/>
        </w:rPr>
        <w:t xml:space="preserve">Trauner, </w:t>
      </w:r>
      <w:r w:rsidR="00D216D4" w:rsidRPr="003C7823">
        <w:rPr>
          <w:rFonts w:cstheme="minorHAnsi"/>
          <w:sz w:val="22"/>
        </w:rPr>
        <w:t>‘</w:t>
      </w:r>
      <w:r w:rsidR="00C7610C" w:rsidRPr="003C7823">
        <w:rPr>
          <w:rFonts w:cstheme="minorHAnsi"/>
          <w:sz w:val="22"/>
        </w:rPr>
        <w:t>Reforming me softly–how soft law has changed EU return policy since the migration crisis</w:t>
      </w:r>
      <w:r w:rsidR="00D216D4" w:rsidRPr="003C7823">
        <w:rPr>
          <w:rFonts w:cstheme="minorHAnsi"/>
          <w:sz w:val="22"/>
        </w:rPr>
        <w:t>’ (2021) 44(1)</w:t>
      </w:r>
      <w:r w:rsidR="00C7610C" w:rsidRPr="003C7823">
        <w:rPr>
          <w:rFonts w:cstheme="minorHAnsi"/>
          <w:sz w:val="22"/>
        </w:rPr>
        <w:t xml:space="preserve">. </w:t>
      </w:r>
      <w:r w:rsidR="00C7610C" w:rsidRPr="003C7823">
        <w:rPr>
          <w:rFonts w:cstheme="minorHAnsi"/>
          <w:i/>
          <w:iCs/>
          <w:sz w:val="22"/>
        </w:rPr>
        <w:t>West European Politics</w:t>
      </w:r>
      <w:r w:rsidR="00C7610C" w:rsidRPr="003C7823">
        <w:rPr>
          <w:rFonts w:cstheme="minorHAnsi"/>
          <w:sz w:val="22"/>
        </w:rPr>
        <w:t>, 93-113.</w:t>
      </w:r>
    </w:p>
    <w:p w14:paraId="5F8AA864" w14:textId="6BEE7B64" w:rsidR="006C09CB" w:rsidRPr="00893053" w:rsidRDefault="007463F1" w:rsidP="00893053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K.E. </w:t>
      </w:r>
      <w:r w:rsidR="006C09CB" w:rsidRPr="003C7823">
        <w:rPr>
          <w:rFonts w:cstheme="minorHAnsi"/>
          <w:sz w:val="22"/>
        </w:rPr>
        <w:t xml:space="preserve">Smith, ‘11 The EU, human rights and relations with third countries: “foreign policy” with an ethical dimension?.’ (2001) </w:t>
      </w:r>
      <w:r w:rsidR="006C09CB" w:rsidRPr="003C7823">
        <w:rPr>
          <w:rFonts w:cstheme="minorHAnsi"/>
          <w:i/>
          <w:iCs/>
          <w:sz w:val="22"/>
        </w:rPr>
        <w:t>Ethics and foreign policy</w:t>
      </w:r>
      <w:r w:rsidR="006C09CB" w:rsidRPr="003C7823">
        <w:rPr>
          <w:rFonts w:cstheme="minorHAnsi"/>
          <w:sz w:val="22"/>
        </w:rPr>
        <w:t xml:space="preserve"> 185</w:t>
      </w:r>
      <w:r w:rsidR="00893053">
        <w:rPr>
          <w:rFonts w:cstheme="minorHAnsi"/>
          <w:sz w:val="22"/>
        </w:rPr>
        <w:t xml:space="preserve"> OR </w:t>
      </w:r>
      <w:r w:rsidR="00893053" w:rsidRPr="00893053">
        <w:rPr>
          <w:rFonts w:cstheme="minorHAnsi"/>
          <w:sz w:val="22"/>
        </w:rPr>
        <w:t xml:space="preserve">K.E. </w:t>
      </w:r>
      <w:r w:rsidR="006C09CB" w:rsidRPr="00893053">
        <w:rPr>
          <w:rFonts w:cstheme="minorHAnsi"/>
          <w:sz w:val="22"/>
        </w:rPr>
        <w:t>Smith,.’ Speaking with One Voice? European Union Co</w:t>
      </w:r>
      <w:r w:rsidR="006C09CB" w:rsidRPr="00893053">
        <w:rPr>
          <w:rFonts w:ascii="Times New Roman" w:hAnsi="Times New Roman"/>
          <w:sz w:val="22"/>
        </w:rPr>
        <w:t>‐</w:t>
      </w:r>
      <w:r w:rsidR="006C09CB" w:rsidRPr="00893053">
        <w:rPr>
          <w:rFonts w:cstheme="minorHAnsi"/>
          <w:sz w:val="22"/>
        </w:rPr>
        <w:t xml:space="preserve">ordination on Human Rights Issues at the United Nations’ (2006) 44:1 </w:t>
      </w:r>
      <w:r w:rsidR="006C09CB" w:rsidRPr="00893053">
        <w:rPr>
          <w:rFonts w:cstheme="minorHAnsi"/>
          <w:i/>
          <w:iCs/>
          <w:sz w:val="22"/>
        </w:rPr>
        <w:t>JCMS: Journal of Common Market Studies</w:t>
      </w:r>
      <w:r w:rsidR="006C09CB" w:rsidRPr="00893053">
        <w:rPr>
          <w:rFonts w:cstheme="minorHAnsi"/>
          <w:sz w:val="22"/>
        </w:rPr>
        <w:t>113-137.</w:t>
      </w:r>
    </w:p>
    <w:p w14:paraId="61942770" w14:textId="0675BFE1" w:rsidR="00935E40" w:rsidRPr="003C7823" w:rsidRDefault="00893053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V. </w:t>
      </w:r>
      <w:r w:rsidR="00935E40" w:rsidRPr="003C7823">
        <w:rPr>
          <w:rFonts w:cstheme="minorHAnsi"/>
          <w:sz w:val="22"/>
        </w:rPr>
        <w:t xml:space="preserve">Stoyanova, </w:t>
      </w:r>
      <w:r w:rsidR="00D216D4" w:rsidRPr="003C7823">
        <w:rPr>
          <w:rFonts w:cstheme="minorHAnsi"/>
          <w:sz w:val="22"/>
        </w:rPr>
        <w:t>‘</w:t>
      </w:r>
      <w:r w:rsidR="00935E40" w:rsidRPr="003C7823">
        <w:rPr>
          <w:rFonts w:cstheme="minorHAnsi"/>
          <w:sz w:val="22"/>
        </w:rPr>
        <w:t xml:space="preserve">The right to life under the </w:t>
      </w:r>
      <w:r>
        <w:rPr>
          <w:rFonts w:cstheme="minorHAnsi"/>
          <w:sz w:val="22"/>
        </w:rPr>
        <w:t>EU</w:t>
      </w:r>
      <w:r w:rsidR="00935E40" w:rsidRPr="003C7823">
        <w:rPr>
          <w:rFonts w:cstheme="minorHAnsi"/>
          <w:sz w:val="22"/>
        </w:rPr>
        <w:t xml:space="preserve"> charter and cooperation with third states to combat human smuggling.</w:t>
      </w:r>
      <w:r w:rsidR="00D216D4" w:rsidRPr="003C7823">
        <w:rPr>
          <w:rFonts w:cstheme="minorHAnsi"/>
          <w:sz w:val="22"/>
        </w:rPr>
        <w:t>’ (2020) 21:3</w:t>
      </w:r>
      <w:r w:rsidR="00935E40" w:rsidRPr="003C7823">
        <w:rPr>
          <w:rFonts w:cstheme="minorHAnsi"/>
          <w:sz w:val="22"/>
        </w:rPr>
        <w:t xml:space="preserve"> </w:t>
      </w:r>
      <w:r w:rsidR="00935E40" w:rsidRPr="003C7823">
        <w:rPr>
          <w:rFonts w:cstheme="minorHAnsi"/>
          <w:i/>
          <w:iCs/>
          <w:sz w:val="22"/>
        </w:rPr>
        <w:t>German Law Journal</w:t>
      </w:r>
      <w:r w:rsidR="00935E40" w:rsidRPr="003C7823">
        <w:rPr>
          <w:rFonts w:cstheme="minorHAnsi"/>
          <w:sz w:val="22"/>
        </w:rPr>
        <w:t xml:space="preserve"> 436-458.</w:t>
      </w:r>
    </w:p>
    <w:p w14:paraId="656AFD2F" w14:textId="53E24F87" w:rsidR="006C09CB" w:rsidRPr="003C7823" w:rsidRDefault="00893053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color w:val="222222"/>
          <w:sz w:val="22"/>
          <w:shd w:val="clear" w:color="auto" w:fill="FFFFFF"/>
        </w:rPr>
        <w:t xml:space="preserve">V. 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Szép, ‘New intergovernmentalism meets EU sanctions policy: The European Council orchestrates the restrictive measures imposed against Russia’ (2020) 42(3) </w:t>
      </w:r>
      <w:r w:rsidR="006C09CB" w:rsidRPr="003C7823">
        <w:rPr>
          <w:rFonts w:cstheme="minorHAnsi"/>
          <w:i/>
          <w:iCs/>
          <w:color w:val="222222"/>
          <w:sz w:val="22"/>
        </w:rPr>
        <w:t>Journal of European Integration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 xml:space="preserve">, </w:t>
      </w:r>
      <w:r w:rsidR="006C09CB" w:rsidRPr="003C7823">
        <w:rPr>
          <w:rFonts w:cstheme="minorHAnsi"/>
          <w:i/>
          <w:iCs/>
          <w:color w:val="222222"/>
          <w:sz w:val="22"/>
        </w:rPr>
        <w:t>42</w:t>
      </w:r>
      <w:r w:rsidR="006C09CB" w:rsidRPr="003C7823">
        <w:rPr>
          <w:rFonts w:cstheme="minorHAnsi"/>
          <w:color w:val="222222"/>
          <w:sz w:val="22"/>
          <w:shd w:val="clear" w:color="auto" w:fill="FFFFFF"/>
        </w:rPr>
        <w:t>(6), 855-871.</w:t>
      </w:r>
    </w:p>
    <w:p w14:paraId="547FF3C0" w14:textId="7EB6CB16" w:rsidR="006C09CB" w:rsidRPr="003C7823" w:rsidRDefault="00DF5AA1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K. </w:t>
      </w:r>
      <w:r w:rsidR="006C09CB" w:rsidRPr="003C7823">
        <w:rPr>
          <w:rFonts w:cstheme="minorHAnsi"/>
          <w:sz w:val="22"/>
        </w:rPr>
        <w:t xml:space="preserve">Vaadura, ‘The </w:t>
      </w:r>
      <w:r w:rsidR="006C09CB" w:rsidRPr="003C7823">
        <w:rPr>
          <w:rStyle w:val="Strong"/>
          <w:rFonts w:cstheme="minorHAnsi"/>
          <w:b w:val="0"/>
          <w:bCs w:val="0"/>
          <w:sz w:val="22"/>
        </w:rPr>
        <w:t>EU</w:t>
      </w:r>
      <w:r w:rsidR="006C09CB" w:rsidRPr="003C7823">
        <w:rPr>
          <w:rFonts w:cstheme="minorHAnsi"/>
          <w:b/>
          <w:bCs/>
          <w:sz w:val="22"/>
        </w:rPr>
        <w:t xml:space="preserve"> </w:t>
      </w:r>
      <w:r w:rsidR="006C09CB" w:rsidRPr="003C7823">
        <w:rPr>
          <w:rFonts w:cstheme="minorHAnsi"/>
          <w:sz w:val="22"/>
        </w:rPr>
        <w:t xml:space="preserve">as 'Norm Entrepreneur' in the Asian Region: Exploring the Digital Diplomacy Aspect of the </w:t>
      </w:r>
      <w:r w:rsidR="006C09CB" w:rsidRPr="003C7823">
        <w:rPr>
          <w:rStyle w:val="Strong"/>
          <w:rFonts w:cstheme="minorHAnsi"/>
          <w:b w:val="0"/>
          <w:bCs w:val="0"/>
          <w:sz w:val="22"/>
        </w:rPr>
        <w:t>Human</w:t>
      </w:r>
      <w:r w:rsidR="006C09CB" w:rsidRPr="003C7823">
        <w:rPr>
          <w:rFonts w:cstheme="minorHAnsi"/>
          <w:b/>
          <w:bCs/>
          <w:sz w:val="22"/>
        </w:rPr>
        <w:t xml:space="preserve"> </w:t>
      </w:r>
      <w:r w:rsidR="006C09CB" w:rsidRPr="003C7823">
        <w:rPr>
          <w:rStyle w:val="Strong"/>
          <w:rFonts w:cstheme="minorHAnsi"/>
          <w:b w:val="0"/>
          <w:bCs w:val="0"/>
          <w:sz w:val="22"/>
        </w:rPr>
        <w:t>Rights</w:t>
      </w:r>
      <w:r w:rsidR="006C09CB" w:rsidRPr="003C7823">
        <w:rPr>
          <w:rFonts w:cstheme="minorHAnsi"/>
          <w:sz w:val="22"/>
        </w:rPr>
        <w:t xml:space="preserve"> Toolbox’  (2015) 13:3 </w:t>
      </w:r>
      <w:r w:rsidR="006C09CB" w:rsidRPr="003C7823">
        <w:rPr>
          <w:rFonts w:cstheme="minorHAnsi"/>
          <w:i/>
          <w:sz w:val="22"/>
        </w:rPr>
        <w:t>Asia Europe Journal</w:t>
      </w:r>
      <w:r w:rsidR="006C09CB" w:rsidRPr="003C7823">
        <w:rPr>
          <w:rFonts w:cstheme="minorHAnsi"/>
          <w:sz w:val="22"/>
        </w:rPr>
        <w:t xml:space="preserve"> 349-60 </w:t>
      </w:r>
    </w:p>
    <w:p w14:paraId="4BB6FA5F" w14:textId="12843882" w:rsidR="006C09CB" w:rsidRPr="003C7823" w:rsidRDefault="00DF5AA1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 xml:space="preserve">S. </w:t>
      </w:r>
      <w:r w:rsidR="006C09CB" w:rsidRPr="003C7823">
        <w:rPr>
          <w:rFonts w:cstheme="minorHAnsi"/>
          <w:sz w:val="22"/>
        </w:rPr>
        <w:t xml:space="preserve">Velluti, ‘The Promotion and Integration of Human Rights in EU External Trade Relations’ (2016) 32(83) </w:t>
      </w:r>
      <w:r w:rsidR="006C09CB" w:rsidRPr="003C7823">
        <w:rPr>
          <w:rFonts w:cstheme="minorHAnsi"/>
          <w:i/>
          <w:sz w:val="22"/>
        </w:rPr>
        <w:t>Utrecht Journal of International and European Law</w:t>
      </w:r>
      <w:r w:rsidR="006C09CB" w:rsidRPr="003C7823">
        <w:rPr>
          <w:rFonts w:cstheme="minorHAnsi"/>
          <w:sz w:val="22"/>
        </w:rPr>
        <w:t xml:space="preserve"> 41.</w:t>
      </w:r>
    </w:p>
    <w:p w14:paraId="65C85B07" w14:textId="65C2E1B4" w:rsidR="00F74415" w:rsidRPr="003C7823" w:rsidRDefault="00DF5AA1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L. </w:t>
      </w:r>
      <w:r w:rsidR="00F74415" w:rsidRPr="003C7823">
        <w:rPr>
          <w:rFonts w:cstheme="minorHAnsi"/>
          <w:sz w:val="22"/>
        </w:rPr>
        <w:t xml:space="preserve">Verdonck  ‘Coherence in the EU's External Human Rights Policy: The Case of the Democratic Republic of the Congo’ (2015) 20:3  </w:t>
      </w:r>
      <w:r w:rsidR="00F74415" w:rsidRPr="003C7823">
        <w:rPr>
          <w:rFonts w:cstheme="minorHAnsi"/>
          <w:i/>
          <w:iCs/>
          <w:sz w:val="22"/>
        </w:rPr>
        <w:t>European Foreign Affairs Review</w:t>
      </w:r>
      <w:r w:rsidR="00F74415" w:rsidRPr="003C7823">
        <w:rPr>
          <w:rFonts w:cstheme="minorHAnsi"/>
          <w:sz w:val="22"/>
        </w:rPr>
        <w:t xml:space="preserve"> 379-397. </w:t>
      </w:r>
    </w:p>
    <w:p w14:paraId="5259099D" w14:textId="45C39FD6" w:rsidR="00F74415" w:rsidRPr="003C7823" w:rsidRDefault="00DF5AA1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A. </w:t>
      </w:r>
      <w:r w:rsidR="00F74415" w:rsidRPr="003C7823">
        <w:rPr>
          <w:rFonts w:cstheme="minorHAnsi"/>
          <w:sz w:val="22"/>
        </w:rPr>
        <w:t xml:space="preserve">Williams, ‘The indifferent gesture: Article 7 TEU, the Fundamental Rights Agency and the UK's invasion of Iraq’ (2006) 1:3 </w:t>
      </w:r>
      <w:r w:rsidR="00F74415" w:rsidRPr="003C7823">
        <w:rPr>
          <w:rFonts w:cstheme="minorHAnsi"/>
          <w:i/>
          <w:iCs/>
          <w:sz w:val="22"/>
        </w:rPr>
        <w:t>European law review</w:t>
      </w:r>
      <w:r w:rsidR="00F74415" w:rsidRPr="003C7823">
        <w:rPr>
          <w:rFonts w:cstheme="minorHAnsi"/>
          <w:sz w:val="22"/>
        </w:rPr>
        <w:t xml:space="preserve"> 3-27.</w:t>
      </w:r>
    </w:p>
    <w:p w14:paraId="6AA6000A" w14:textId="19C13760" w:rsidR="001F01F0" w:rsidRPr="003C7823" w:rsidRDefault="00074E86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S. </w:t>
      </w:r>
      <w:r w:rsidR="001F01F0" w:rsidRPr="003C7823">
        <w:rPr>
          <w:rFonts w:cstheme="minorHAnsi"/>
          <w:sz w:val="22"/>
        </w:rPr>
        <w:t xml:space="preserve">Yakovleva, &amp; </w:t>
      </w:r>
      <w:r>
        <w:rPr>
          <w:rFonts w:cstheme="minorHAnsi"/>
          <w:sz w:val="22"/>
        </w:rPr>
        <w:t xml:space="preserve">K. </w:t>
      </w:r>
      <w:r w:rsidR="001F01F0" w:rsidRPr="003C7823">
        <w:rPr>
          <w:rFonts w:cstheme="minorHAnsi"/>
          <w:sz w:val="22"/>
        </w:rPr>
        <w:t xml:space="preserve">Irion, K. (2020). Toward Compatibility of the EU Trade Policy with the General Data Protection Regulation. </w:t>
      </w:r>
      <w:r w:rsidR="003A072D" w:rsidRPr="003C7823">
        <w:rPr>
          <w:rFonts w:cstheme="minorHAnsi"/>
          <w:sz w:val="22"/>
        </w:rPr>
        <w:t>(2020) 114</w:t>
      </w:r>
      <w:r w:rsidR="001F01F0" w:rsidRPr="003C7823">
        <w:rPr>
          <w:rFonts w:cstheme="minorHAnsi"/>
          <w:i/>
          <w:iCs/>
          <w:sz w:val="22"/>
        </w:rPr>
        <w:t>American Journal of International Law</w:t>
      </w:r>
      <w:r w:rsidR="001F01F0" w:rsidRPr="003C7823">
        <w:rPr>
          <w:rFonts w:cstheme="minorHAnsi"/>
          <w:sz w:val="22"/>
        </w:rPr>
        <w:t>, 10-14.</w:t>
      </w:r>
    </w:p>
    <w:p w14:paraId="3CD29F5B" w14:textId="2146C0DC" w:rsidR="00F74415" w:rsidRPr="003C7823" w:rsidRDefault="00074E86">
      <w:pPr>
        <w:pStyle w:val="ListParagraph"/>
        <w:numPr>
          <w:ilvl w:val="0"/>
          <w:numId w:val="27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R. </w:t>
      </w:r>
      <w:r w:rsidR="00F74415" w:rsidRPr="003C7823">
        <w:rPr>
          <w:rFonts w:cstheme="minorHAnsi"/>
          <w:sz w:val="22"/>
        </w:rPr>
        <w:t xml:space="preserve">Youngs, ’Normative Dynamics and Strategic Interests in the EU's External Identity’ (2004) 42:2 </w:t>
      </w:r>
      <w:r w:rsidR="00F74415" w:rsidRPr="003C7823">
        <w:rPr>
          <w:rFonts w:cstheme="minorHAnsi"/>
          <w:i/>
          <w:iCs/>
          <w:sz w:val="22"/>
        </w:rPr>
        <w:t>Journal of Common Market Studies</w:t>
      </w:r>
      <w:r w:rsidR="00F74415" w:rsidRPr="003C7823">
        <w:rPr>
          <w:rFonts w:cstheme="minorHAnsi"/>
          <w:sz w:val="22"/>
        </w:rPr>
        <w:t xml:space="preserve"> 415. </w:t>
      </w:r>
    </w:p>
    <w:p w14:paraId="0C940A6D" w14:textId="1B9DDD1F" w:rsidR="008667F2" w:rsidRPr="003C7823" w:rsidRDefault="007B783B">
      <w:pPr>
        <w:pStyle w:val="ListParagraph"/>
        <w:numPr>
          <w:ilvl w:val="0"/>
          <w:numId w:val="27"/>
        </w:numPr>
        <w:rPr>
          <w:rFonts w:cstheme="minorHAnsi"/>
          <w:color w:val="000000"/>
          <w:sz w:val="22"/>
        </w:rPr>
      </w:pPr>
      <w:r>
        <w:rPr>
          <w:rFonts w:cstheme="minorHAnsi"/>
          <w:color w:val="222222"/>
          <w:sz w:val="22"/>
          <w:shd w:val="clear" w:color="auto" w:fill="FFFFFF"/>
        </w:rPr>
        <w:t xml:space="preserve">K. </w:t>
      </w:r>
      <w:r w:rsidR="00F74415" w:rsidRPr="003C7823">
        <w:rPr>
          <w:rFonts w:cstheme="minorHAnsi"/>
          <w:color w:val="222222"/>
          <w:sz w:val="22"/>
          <w:shd w:val="clear" w:color="auto" w:fill="FFFFFF"/>
        </w:rPr>
        <w:t xml:space="preserve">Zurek, ‘From “Trade and Sustainability” to “Trade for Sustainability” in EU External Trade Policy’ In </w:t>
      </w:r>
      <w:r w:rsidR="00F74415" w:rsidRPr="003C7823">
        <w:rPr>
          <w:rFonts w:cstheme="minorHAnsi"/>
          <w:i/>
          <w:iCs/>
          <w:color w:val="222222"/>
          <w:sz w:val="22"/>
        </w:rPr>
        <w:t>The European Union in a Changing World Order</w:t>
      </w:r>
      <w:r w:rsidR="00F74415" w:rsidRPr="003C7823">
        <w:rPr>
          <w:rFonts w:cstheme="minorHAnsi"/>
          <w:color w:val="222222"/>
          <w:sz w:val="22"/>
          <w:shd w:val="clear" w:color="auto" w:fill="FFFFFF"/>
        </w:rPr>
        <w:t xml:space="preserve"> (Palgrave Macmillan, 2020) pp. 115-143</w:t>
      </w:r>
    </w:p>
    <w:p w14:paraId="1B93F3E1" w14:textId="407287F8" w:rsidR="00DE7387" w:rsidRPr="003C7823" w:rsidRDefault="00DE7387" w:rsidP="006D16F4">
      <w:pPr>
        <w:rPr>
          <w:rFonts w:cstheme="minorHAnsi"/>
          <w:color w:val="000000"/>
          <w:sz w:val="22"/>
        </w:rPr>
      </w:pPr>
    </w:p>
    <w:sectPr w:rsidR="00DE7387" w:rsidRPr="003C7823" w:rsidSect="008667F2">
      <w:footerReference w:type="default" r:id="rId76"/>
      <w:pgSz w:w="12240" w:h="15840"/>
      <w:pgMar w:top="1440" w:right="1080" w:bottom="1440" w:left="1080" w:header="720" w:footer="720" w:gutter="0"/>
      <w:cols w:space="720" w:equalWidth="0">
        <w:col w:w="93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2D99" w14:textId="77777777" w:rsidR="00E81AC1" w:rsidRDefault="00E81AC1" w:rsidP="008667F2">
      <w:pPr>
        <w:spacing w:line="240" w:lineRule="auto"/>
      </w:pPr>
      <w:r>
        <w:separator/>
      </w:r>
    </w:p>
  </w:endnote>
  <w:endnote w:type="continuationSeparator" w:id="0">
    <w:p w14:paraId="63C4563E" w14:textId="77777777" w:rsidR="00E81AC1" w:rsidRDefault="00E81AC1" w:rsidP="0086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8667F2" w:rsidRDefault="008667F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997CC1D" w14:textId="77777777" w:rsidR="008667F2" w:rsidRDefault="0086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9133" w14:textId="77777777" w:rsidR="00E81AC1" w:rsidRDefault="00E81AC1" w:rsidP="008667F2">
      <w:pPr>
        <w:spacing w:line="240" w:lineRule="auto"/>
      </w:pPr>
      <w:r>
        <w:separator/>
      </w:r>
    </w:p>
  </w:footnote>
  <w:footnote w:type="continuationSeparator" w:id="0">
    <w:p w14:paraId="188BFCD3" w14:textId="77777777" w:rsidR="00E81AC1" w:rsidRDefault="00E81AC1" w:rsidP="00866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598"/>
    <w:multiLevelType w:val="hybridMultilevel"/>
    <w:tmpl w:val="48788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5B98"/>
    <w:multiLevelType w:val="hybridMultilevel"/>
    <w:tmpl w:val="28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B1D"/>
    <w:multiLevelType w:val="hybridMultilevel"/>
    <w:tmpl w:val="05DE64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F740C"/>
    <w:multiLevelType w:val="hybridMultilevel"/>
    <w:tmpl w:val="0DA614C6"/>
    <w:lvl w:ilvl="0" w:tplc="36B8AF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40B"/>
    <w:multiLevelType w:val="hybridMultilevel"/>
    <w:tmpl w:val="D73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B58"/>
    <w:multiLevelType w:val="hybridMultilevel"/>
    <w:tmpl w:val="84A4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7FE9"/>
    <w:multiLevelType w:val="hybridMultilevel"/>
    <w:tmpl w:val="510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153E"/>
    <w:multiLevelType w:val="hybridMultilevel"/>
    <w:tmpl w:val="1FE2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10D21"/>
    <w:multiLevelType w:val="hybridMultilevel"/>
    <w:tmpl w:val="CF62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C09"/>
    <w:multiLevelType w:val="hybridMultilevel"/>
    <w:tmpl w:val="E56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1E2"/>
    <w:multiLevelType w:val="hybridMultilevel"/>
    <w:tmpl w:val="B464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2FC"/>
    <w:multiLevelType w:val="hybridMultilevel"/>
    <w:tmpl w:val="28E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7364"/>
    <w:multiLevelType w:val="hybridMultilevel"/>
    <w:tmpl w:val="1FDC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0614"/>
    <w:multiLevelType w:val="hybridMultilevel"/>
    <w:tmpl w:val="9C7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63B9"/>
    <w:multiLevelType w:val="hybridMultilevel"/>
    <w:tmpl w:val="1AA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132B"/>
    <w:multiLevelType w:val="hybridMultilevel"/>
    <w:tmpl w:val="373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E4D5F"/>
    <w:multiLevelType w:val="hybridMultilevel"/>
    <w:tmpl w:val="D762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18EB"/>
    <w:multiLevelType w:val="hybridMultilevel"/>
    <w:tmpl w:val="472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7ACB"/>
    <w:multiLevelType w:val="hybridMultilevel"/>
    <w:tmpl w:val="3BC0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11714"/>
    <w:multiLevelType w:val="hybridMultilevel"/>
    <w:tmpl w:val="07383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D9153D"/>
    <w:multiLevelType w:val="hybridMultilevel"/>
    <w:tmpl w:val="05F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26183"/>
    <w:multiLevelType w:val="hybridMultilevel"/>
    <w:tmpl w:val="7FF6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045E"/>
    <w:multiLevelType w:val="hybridMultilevel"/>
    <w:tmpl w:val="48F8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65827"/>
    <w:multiLevelType w:val="hybridMultilevel"/>
    <w:tmpl w:val="0F66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62EC"/>
    <w:multiLevelType w:val="hybridMultilevel"/>
    <w:tmpl w:val="9EB6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21284"/>
    <w:multiLevelType w:val="hybridMultilevel"/>
    <w:tmpl w:val="20D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C53F2"/>
    <w:multiLevelType w:val="hybridMultilevel"/>
    <w:tmpl w:val="E362C844"/>
    <w:lvl w:ilvl="0" w:tplc="67F0F8EA">
      <w:start w:val="1"/>
      <w:numFmt w:val="decimal"/>
      <w:lvlText w:val="%1)"/>
      <w:lvlJc w:val="left"/>
      <w:pPr>
        <w:ind w:left="720" w:hanging="360"/>
      </w:pPr>
      <w:rPr>
        <w:rFonts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F39AA"/>
    <w:multiLevelType w:val="hybridMultilevel"/>
    <w:tmpl w:val="B89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631C4"/>
    <w:multiLevelType w:val="hybridMultilevel"/>
    <w:tmpl w:val="CDF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2879">
    <w:abstractNumId w:val="3"/>
  </w:num>
  <w:num w:numId="2" w16cid:durableId="549272329">
    <w:abstractNumId w:val="0"/>
  </w:num>
  <w:num w:numId="3" w16cid:durableId="1975789235">
    <w:abstractNumId w:val="2"/>
  </w:num>
  <w:num w:numId="4" w16cid:durableId="1296138236">
    <w:abstractNumId w:val="27"/>
  </w:num>
  <w:num w:numId="5" w16cid:durableId="719939176">
    <w:abstractNumId w:val="25"/>
  </w:num>
  <w:num w:numId="6" w16cid:durableId="613365908">
    <w:abstractNumId w:val="1"/>
  </w:num>
  <w:num w:numId="7" w16cid:durableId="1161654670">
    <w:abstractNumId w:val="11"/>
  </w:num>
  <w:num w:numId="8" w16cid:durableId="123810661">
    <w:abstractNumId w:val="10"/>
  </w:num>
  <w:num w:numId="9" w16cid:durableId="1770277961">
    <w:abstractNumId w:val="13"/>
  </w:num>
  <w:num w:numId="10" w16cid:durableId="2000887205">
    <w:abstractNumId w:val="20"/>
  </w:num>
  <w:num w:numId="11" w16cid:durableId="549608009">
    <w:abstractNumId w:val="9"/>
  </w:num>
  <w:num w:numId="12" w16cid:durableId="1643926701">
    <w:abstractNumId w:val="7"/>
  </w:num>
  <w:num w:numId="13" w16cid:durableId="1492873045">
    <w:abstractNumId w:val="6"/>
  </w:num>
  <w:num w:numId="14" w16cid:durableId="2030178307">
    <w:abstractNumId w:val="15"/>
  </w:num>
  <w:num w:numId="15" w16cid:durableId="1014652909">
    <w:abstractNumId w:val="22"/>
  </w:num>
  <w:num w:numId="16" w16cid:durableId="358044910">
    <w:abstractNumId w:val="21"/>
  </w:num>
  <w:num w:numId="17" w16cid:durableId="1442190682">
    <w:abstractNumId w:val="26"/>
  </w:num>
  <w:num w:numId="18" w16cid:durableId="1243178274">
    <w:abstractNumId w:val="18"/>
  </w:num>
  <w:num w:numId="19" w16cid:durableId="1945842908">
    <w:abstractNumId w:val="23"/>
  </w:num>
  <w:num w:numId="20" w16cid:durableId="1080981769">
    <w:abstractNumId w:val="4"/>
  </w:num>
  <w:num w:numId="21" w16cid:durableId="313727032">
    <w:abstractNumId w:val="16"/>
  </w:num>
  <w:num w:numId="22" w16cid:durableId="545223157">
    <w:abstractNumId w:val="24"/>
  </w:num>
  <w:num w:numId="23" w16cid:durableId="812253583">
    <w:abstractNumId w:val="14"/>
  </w:num>
  <w:num w:numId="24" w16cid:durableId="149954053">
    <w:abstractNumId w:val="5"/>
  </w:num>
  <w:num w:numId="25" w16cid:durableId="1041437567">
    <w:abstractNumId w:val="17"/>
  </w:num>
  <w:num w:numId="26" w16cid:durableId="368527223">
    <w:abstractNumId w:val="8"/>
  </w:num>
  <w:num w:numId="27" w16cid:durableId="948010130">
    <w:abstractNumId w:val="12"/>
  </w:num>
  <w:num w:numId="28" w16cid:durableId="1814104140">
    <w:abstractNumId w:val="28"/>
  </w:num>
  <w:num w:numId="29" w16cid:durableId="57235091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2"/>
    <w:rsid w:val="00000685"/>
    <w:rsid w:val="00002714"/>
    <w:rsid w:val="00002E54"/>
    <w:rsid w:val="00003A5A"/>
    <w:rsid w:val="00003F5C"/>
    <w:rsid w:val="00006C43"/>
    <w:rsid w:val="0001236D"/>
    <w:rsid w:val="000141E1"/>
    <w:rsid w:val="000144DF"/>
    <w:rsid w:val="00014A3B"/>
    <w:rsid w:val="0001645A"/>
    <w:rsid w:val="000166A8"/>
    <w:rsid w:val="00016ABE"/>
    <w:rsid w:val="00016FFA"/>
    <w:rsid w:val="00017444"/>
    <w:rsid w:val="000206B2"/>
    <w:rsid w:val="000214FC"/>
    <w:rsid w:val="0002178E"/>
    <w:rsid w:val="00022FB6"/>
    <w:rsid w:val="0002332E"/>
    <w:rsid w:val="00024D47"/>
    <w:rsid w:val="00026A0D"/>
    <w:rsid w:val="00026D45"/>
    <w:rsid w:val="00026DAA"/>
    <w:rsid w:val="000271BF"/>
    <w:rsid w:val="00027FE0"/>
    <w:rsid w:val="00030434"/>
    <w:rsid w:val="00030953"/>
    <w:rsid w:val="00030D21"/>
    <w:rsid w:val="00032324"/>
    <w:rsid w:val="00033ECB"/>
    <w:rsid w:val="00034399"/>
    <w:rsid w:val="00036236"/>
    <w:rsid w:val="00037679"/>
    <w:rsid w:val="0004249F"/>
    <w:rsid w:val="000446CE"/>
    <w:rsid w:val="000458D1"/>
    <w:rsid w:val="00047ACF"/>
    <w:rsid w:val="00051FEF"/>
    <w:rsid w:val="000541F4"/>
    <w:rsid w:val="000547F1"/>
    <w:rsid w:val="00055C99"/>
    <w:rsid w:val="00057735"/>
    <w:rsid w:val="00057981"/>
    <w:rsid w:val="00060D02"/>
    <w:rsid w:val="00061934"/>
    <w:rsid w:val="00061C6A"/>
    <w:rsid w:val="00062E76"/>
    <w:rsid w:val="00063913"/>
    <w:rsid w:val="00064096"/>
    <w:rsid w:val="00064EDA"/>
    <w:rsid w:val="000656E0"/>
    <w:rsid w:val="000663B9"/>
    <w:rsid w:val="00071ECE"/>
    <w:rsid w:val="00074E86"/>
    <w:rsid w:val="00074FB0"/>
    <w:rsid w:val="00075080"/>
    <w:rsid w:val="00075DF2"/>
    <w:rsid w:val="00075FE6"/>
    <w:rsid w:val="0007642F"/>
    <w:rsid w:val="0007683E"/>
    <w:rsid w:val="00076AB7"/>
    <w:rsid w:val="00076E6E"/>
    <w:rsid w:val="00077739"/>
    <w:rsid w:val="00080856"/>
    <w:rsid w:val="00081E05"/>
    <w:rsid w:val="000825DD"/>
    <w:rsid w:val="00082709"/>
    <w:rsid w:val="0008319D"/>
    <w:rsid w:val="0008563B"/>
    <w:rsid w:val="00085DE1"/>
    <w:rsid w:val="00087320"/>
    <w:rsid w:val="0008787B"/>
    <w:rsid w:val="00087E2F"/>
    <w:rsid w:val="000909FA"/>
    <w:rsid w:val="0009167E"/>
    <w:rsid w:val="0009212B"/>
    <w:rsid w:val="000937E2"/>
    <w:rsid w:val="00095A54"/>
    <w:rsid w:val="0009675E"/>
    <w:rsid w:val="000A1BA6"/>
    <w:rsid w:val="000A1C8A"/>
    <w:rsid w:val="000A1D98"/>
    <w:rsid w:val="000A213E"/>
    <w:rsid w:val="000A28EA"/>
    <w:rsid w:val="000A2A2A"/>
    <w:rsid w:val="000A3808"/>
    <w:rsid w:val="000A57AE"/>
    <w:rsid w:val="000A6348"/>
    <w:rsid w:val="000A6FFF"/>
    <w:rsid w:val="000B1867"/>
    <w:rsid w:val="000B1B1A"/>
    <w:rsid w:val="000B20DA"/>
    <w:rsid w:val="000B281B"/>
    <w:rsid w:val="000B411F"/>
    <w:rsid w:val="000B4BD8"/>
    <w:rsid w:val="000B53B2"/>
    <w:rsid w:val="000B5E95"/>
    <w:rsid w:val="000B6137"/>
    <w:rsid w:val="000B6164"/>
    <w:rsid w:val="000B6EC8"/>
    <w:rsid w:val="000C1B15"/>
    <w:rsid w:val="000C340C"/>
    <w:rsid w:val="000C41EF"/>
    <w:rsid w:val="000C6D39"/>
    <w:rsid w:val="000C6DF9"/>
    <w:rsid w:val="000C7A16"/>
    <w:rsid w:val="000D029E"/>
    <w:rsid w:val="000D71C1"/>
    <w:rsid w:val="000E0BA9"/>
    <w:rsid w:val="000E282D"/>
    <w:rsid w:val="000E7C7B"/>
    <w:rsid w:val="000F0E47"/>
    <w:rsid w:val="000F2B98"/>
    <w:rsid w:val="000F34CA"/>
    <w:rsid w:val="000F39D2"/>
    <w:rsid w:val="000F5B09"/>
    <w:rsid w:val="000F61AC"/>
    <w:rsid w:val="00100783"/>
    <w:rsid w:val="0010128F"/>
    <w:rsid w:val="00101B34"/>
    <w:rsid w:val="00101F5D"/>
    <w:rsid w:val="00103732"/>
    <w:rsid w:val="00103804"/>
    <w:rsid w:val="00104D76"/>
    <w:rsid w:val="00104D7B"/>
    <w:rsid w:val="00105401"/>
    <w:rsid w:val="00107006"/>
    <w:rsid w:val="0010795E"/>
    <w:rsid w:val="00107C1F"/>
    <w:rsid w:val="001122A6"/>
    <w:rsid w:val="00112468"/>
    <w:rsid w:val="00114BFE"/>
    <w:rsid w:val="00115A4F"/>
    <w:rsid w:val="00116733"/>
    <w:rsid w:val="00116CD6"/>
    <w:rsid w:val="00116F1A"/>
    <w:rsid w:val="00117C0E"/>
    <w:rsid w:val="00120A23"/>
    <w:rsid w:val="00123AD7"/>
    <w:rsid w:val="001255BA"/>
    <w:rsid w:val="001259EB"/>
    <w:rsid w:val="00125FD7"/>
    <w:rsid w:val="001276ED"/>
    <w:rsid w:val="001301D0"/>
    <w:rsid w:val="00131AFF"/>
    <w:rsid w:val="00131BCE"/>
    <w:rsid w:val="00132361"/>
    <w:rsid w:val="0013257E"/>
    <w:rsid w:val="00132F2A"/>
    <w:rsid w:val="0013366C"/>
    <w:rsid w:val="0013578E"/>
    <w:rsid w:val="00136018"/>
    <w:rsid w:val="00140601"/>
    <w:rsid w:val="00141196"/>
    <w:rsid w:val="00142FDF"/>
    <w:rsid w:val="00144ACB"/>
    <w:rsid w:val="0014574E"/>
    <w:rsid w:val="001478EA"/>
    <w:rsid w:val="00151E54"/>
    <w:rsid w:val="00153C77"/>
    <w:rsid w:val="00154D94"/>
    <w:rsid w:val="00155180"/>
    <w:rsid w:val="001552A4"/>
    <w:rsid w:val="001565AE"/>
    <w:rsid w:val="0015799E"/>
    <w:rsid w:val="00160288"/>
    <w:rsid w:val="0016130E"/>
    <w:rsid w:val="0016278B"/>
    <w:rsid w:val="00162E68"/>
    <w:rsid w:val="00163A3D"/>
    <w:rsid w:val="00163FC9"/>
    <w:rsid w:val="0016690A"/>
    <w:rsid w:val="001702CB"/>
    <w:rsid w:val="001708F7"/>
    <w:rsid w:val="0017550B"/>
    <w:rsid w:val="00176703"/>
    <w:rsid w:val="00177C56"/>
    <w:rsid w:val="00180713"/>
    <w:rsid w:val="0018110E"/>
    <w:rsid w:val="001818EF"/>
    <w:rsid w:val="00183C43"/>
    <w:rsid w:val="00183EEC"/>
    <w:rsid w:val="00184B84"/>
    <w:rsid w:val="00190C6A"/>
    <w:rsid w:val="00191E4E"/>
    <w:rsid w:val="00192939"/>
    <w:rsid w:val="00194E62"/>
    <w:rsid w:val="001A3663"/>
    <w:rsid w:val="001A6981"/>
    <w:rsid w:val="001B059C"/>
    <w:rsid w:val="001B069B"/>
    <w:rsid w:val="001B1D9F"/>
    <w:rsid w:val="001B38E9"/>
    <w:rsid w:val="001B60D6"/>
    <w:rsid w:val="001B687E"/>
    <w:rsid w:val="001B69B3"/>
    <w:rsid w:val="001B6F11"/>
    <w:rsid w:val="001B7553"/>
    <w:rsid w:val="001B7716"/>
    <w:rsid w:val="001B7C1B"/>
    <w:rsid w:val="001C12CD"/>
    <w:rsid w:val="001C4212"/>
    <w:rsid w:val="001C425D"/>
    <w:rsid w:val="001D0F29"/>
    <w:rsid w:val="001D2C5E"/>
    <w:rsid w:val="001D6791"/>
    <w:rsid w:val="001D73BB"/>
    <w:rsid w:val="001E09A2"/>
    <w:rsid w:val="001E28FF"/>
    <w:rsid w:val="001E360C"/>
    <w:rsid w:val="001E36D7"/>
    <w:rsid w:val="001E4474"/>
    <w:rsid w:val="001E4B69"/>
    <w:rsid w:val="001E66CB"/>
    <w:rsid w:val="001E6BA3"/>
    <w:rsid w:val="001E6DBF"/>
    <w:rsid w:val="001E7B83"/>
    <w:rsid w:val="001F01F0"/>
    <w:rsid w:val="001F048A"/>
    <w:rsid w:val="001F14D3"/>
    <w:rsid w:val="001F1985"/>
    <w:rsid w:val="001F2D8E"/>
    <w:rsid w:val="001F3CF1"/>
    <w:rsid w:val="001F4EBE"/>
    <w:rsid w:val="001F58A8"/>
    <w:rsid w:val="001F6285"/>
    <w:rsid w:val="002009C8"/>
    <w:rsid w:val="00201B4E"/>
    <w:rsid w:val="002034F2"/>
    <w:rsid w:val="00204024"/>
    <w:rsid w:val="002066C9"/>
    <w:rsid w:val="00207279"/>
    <w:rsid w:val="00207282"/>
    <w:rsid w:val="002078F1"/>
    <w:rsid w:val="00211573"/>
    <w:rsid w:val="00213D3C"/>
    <w:rsid w:val="00213D40"/>
    <w:rsid w:val="00213FAA"/>
    <w:rsid w:val="00216049"/>
    <w:rsid w:val="00220322"/>
    <w:rsid w:val="00221557"/>
    <w:rsid w:val="00223568"/>
    <w:rsid w:val="00223796"/>
    <w:rsid w:val="00224C43"/>
    <w:rsid w:val="00225612"/>
    <w:rsid w:val="00226A43"/>
    <w:rsid w:val="002273D1"/>
    <w:rsid w:val="002321B2"/>
    <w:rsid w:val="002324EB"/>
    <w:rsid w:val="00234A6D"/>
    <w:rsid w:val="00237298"/>
    <w:rsid w:val="002377D5"/>
    <w:rsid w:val="00237F31"/>
    <w:rsid w:val="00242456"/>
    <w:rsid w:val="00242910"/>
    <w:rsid w:val="00244C17"/>
    <w:rsid w:val="00245836"/>
    <w:rsid w:val="00247786"/>
    <w:rsid w:val="002509E5"/>
    <w:rsid w:val="00251444"/>
    <w:rsid w:val="00251D25"/>
    <w:rsid w:val="002524FB"/>
    <w:rsid w:val="00254362"/>
    <w:rsid w:val="00257838"/>
    <w:rsid w:val="0026034F"/>
    <w:rsid w:val="00260657"/>
    <w:rsid w:val="002606A3"/>
    <w:rsid w:val="00261C91"/>
    <w:rsid w:val="0026257F"/>
    <w:rsid w:val="00263013"/>
    <w:rsid w:val="00263D27"/>
    <w:rsid w:val="002650F2"/>
    <w:rsid w:val="00266291"/>
    <w:rsid w:val="002664BE"/>
    <w:rsid w:val="00266948"/>
    <w:rsid w:val="00267142"/>
    <w:rsid w:val="002710D5"/>
    <w:rsid w:val="00272067"/>
    <w:rsid w:val="00272F19"/>
    <w:rsid w:val="00274F16"/>
    <w:rsid w:val="0027500B"/>
    <w:rsid w:val="00275C58"/>
    <w:rsid w:val="00280399"/>
    <w:rsid w:val="0028124C"/>
    <w:rsid w:val="0028300C"/>
    <w:rsid w:val="00283FC4"/>
    <w:rsid w:val="002850A4"/>
    <w:rsid w:val="0028698E"/>
    <w:rsid w:val="00287287"/>
    <w:rsid w:val="00287409"/>
    <w:rsid w:val="002903D9"/>
    <w:rsid w:val="0029142B"/>
    <w:rsid w:val="00293046"/>
    <w:rsid w:val="0029321B"/>
    <w:rsid w:val="00293C0E"/>
    <w:rsid w:val="00296C1C"/>
    <w:rsid w:val="002A16DE"/>
    <w:rsid w:val="002A3DA5"/>
    <w:rsid w:val="002A5350"/>
    <w:rsid w:val="002A5C67"/>
    <w:rsid w:val="002A62E5"/>
    <w:rsid w:val="002A6B1A"/>
    <w:rsid w:val="002A6EAF"/>
    <w:rsid w:val="002B0222"/>
    <w:rsid w:val="002B0E1C"/>
    <w:rsid w:val="002B169D"/>
    <w:rsid w:val="002B1F16"/>
    <w:rsid w:val="002B394E"/>
    <w:rsid w:val="002B46D8"/>
    <w:rsid w:val="002B47B8"/>
    <w:rsid w:val="002B5EDA"/>
    <w:rsid w:val="002C0ABE"/>
    <w:rsid w:val="002C3420"/>
    <w:rsid w:val="002C3FC0"/>
    <w:rsid w:val="002C46F7"/>
    <w:rsid w:val="002C59F1"/>
    <w:rsid w:val="002C6472"/>
    <w:rsid w:val="002C651F"/>
    <w:rsid w:val="002C7106"/>
    <w:rsid w:val="002D1A98"/>
    <w:rsid w:val="002D317C"/>
    <w:rsid w:val="002D33EA"/>
    <w:rsid w:val="002D39B7"/>
    <w:rsid w:val="002D479F"/>
    <w:rsid w:val="002E05CD"/>
    <w:rsid w:val="002E4421"/>
    <w:rsid w:val="002E6E72"/>
    <w:rsid w:val="002E7EB3"/>
    <w:rsid w:val="002F150E"/>
    <w:rsid w:val="002F23E8"/>
    <w:rsid w:val="002F28D7"/>
    <w:rsid w:val="002F453D"/>
    <w:rsid w:val="002F5C35"/>
    <w:rsid w:val="002F7C43"/>
    <w:rsid w:val="0030215D"/>
    <w:rsid w:val="003037B4"/>
    <w:rsid w:val="00303FD4"/>
    <w:rsid w:val="0030485B"/>
    <w:rsid w:val="003068B6"/>
    <w:rsid w:val="00306FB3"/>
    <w:rsid w:val="00307C0D"/>
    <w:rsid w:val="00310375"/>
    <w:rsid w:val="00314DA7"/>
    <w:rsid w:val="00316B4F"/>
    <w:rsid w:val="0031725F"/>
    <w:rsid w:val="00317607"/>
    <w:rsid w:val="00321F24"/>
    <w:rsid w:val="00322E66"/>
    <w:rsid w:val="00323266"/>
    <w:rsid w:val="003238CA"/>
    <w:rsid w:val="00323E45"/>
    <w:rsid w:val="003244E9"/>
    <w:rsid w:val="00324FC8"/>
    <w:rsid w:val="00326989"/>
    <w:rsid w:val="003275DF"/>
    <w:rsid w:val="003301D7"/>
    <w:rsid w:val="0033061D"/>
    <w:rsid w:val="003331E1"/>
    <w:rsid w:val="00333205"/>
    <w:rsid w:val="003361BA"/>
    <w:rsid w:val="00336369"/>
    <w:rsid w:val="003367D9"/>
    <w:rsid w:val="00337792"/>
    <w:rsid w:val="003412BC"/>
    <w:rsid w:val="00342E59"/>
    <w:rsid w:val="0034413F"/>
    <w:rsid w:val="00346366"/>
    <w:rsid w:val="003475F8"/>
    <w:rsid w:val="00347941"/>
    <w:rsid w:val="00350735"/>
    <w:rsid w:val="00350A80"/>
    <w:rsid w:val="00351BD3"/>
    <w:rsid w:val="00355DD1"/>
    <w:rsid w:val="0035682F"/>
    <w:rsid w:val="00357C85"/>
    <w:rsid w:val="00360E04"/>
    <w:rsid w:val="003619E1"/>
    <w:rsid w:val="00361AB0"/>
    <w:rsid w:val="00364A5C"/>
    <w:rsid w:val="0036505A"/>
    <w:rsid w:val="00365657"/>
    <w:rsid w:val="00370379"/>
    <w:rsid w:val="003720CE"/>
    <w:rsid w:val="003721D9"/>
    <w:rsid w:val="003730BC"/>
    <w:rsid w:val="00374ECB"/>
    <w:rsid w:val="00375B65"/>
    <w:rsid w:val="00377440"/>
    <w:rsid w:val="00377E4A"/>
    <w:rsid w:val="00377FAE"/>
    <w:rsid w:val="00380055"/>
    <w:rsid w:val="00380388"/>
    <w:rsid w:val="00381CF4"/>
    <w:rsid w:val="00382143"/>
    <w:rsid w:val="00382F8D"/>
    <w:rsid w:val="0038311C"/>
    <w:rsid w:val="00384D67"/>
    <w:rsid w:val="00385CBF"/>
    <w:rsid w:val="00386660"/>
    <w:rsid w:val="003875C0"/>
    <w:rsid w:val="00387892"/>
    <w:rsid w:val="00391B5A"/>
    <w:rsid w:val="00391E34"/>
    <w:rsid w:val="003944FD"/>
    <w:rsid w:val="00396E1B"/>
    <w:rsid w:val="0039799A"/>
    <w:rsid w:val="003A072D"/>
    <w:rsid w:val="003A1B4E"/>
    <w:rsid w:val="003A2D61"/>
    <w:rsid w:val="003A3CE2"/>
    <w:rsid w:val="003A46C9"/>
    <w:rsid w:val="003A588D"/>
    <w:rsid w:val="003A6833"/>
    <w:rsid w:val="003A733D"/>
    <w:rsid w:val="003B1083"/>
    <w:rsid w:val="003B1354"/>
    <w:rsid w:val="003B148E"/>
    <w:rsid w:val="003B1911"/>
    <w:rsid w:val="003B5121"/>
    <w:rsid w:val="003B63FA"/>
    <w:rsid w:val="003B6A30"/>
    <w:rsid w:val="003C35DE"/>
    <w:rsid w:val="003C7823"/>
    <w:rsid w:val="003C7BD2"/>
    <w:rsid w:val="003D0A86"/>
    <w:rsid w:val="003D6AB7"/>
    <w:rsid w:val="003D6DEC"/>
    <w:rsid w:val="003D774C"/>
    <w:rsid w:val="003E1EC9"/>
    <w:rsid w:val="003E3F0A"/>
    <w:rsid w:val="003E5328"/>
    <w:rsid w:val="003E6F43"/>
    <w:rsid w:val="003E7AAC"/>
    <w:rsid w:val="003E7D67"/>
    <w:rsid w:val="003F0EFE"/>
    <w:rsid w:val="003F1873"/>
    <w:rsid w:val="003F28AF"/>
    <w:rsid w:val="003F3D7E"/>
    <w:rsid w:val="003F4505"/>
    <w:rsid w:val="003F547E"/>
    <w:rsid w:val="003F5CFB"/>
    <w:rsid w:val="0040267D"/>
    <w:rsid w:val="004049EE"/>
    <w:rsid w:val="004067C0"/>
    <w:rsid w:val="004072B9"/>
    <w:rsid w:val="00411BE7"/>
    <w:rsid w:val="00412387"/>
    <w:rsid w:val="00412809"/>
    <w:rsid w:val="0041562A"/>
    <w:rsid w:val="00415AF5"/>
    <w:rsid w:val="0041713B"/>
    <w:rsid w:val="0041722D"/>
    <w:rsid w:val="00417C55"/>
    <w:rsid w:val="00420379"/>
    <w:rsid w:val="004220A7"/>
    <w:rsid w:val="00425583"/>
    <w:rsid w:val="00425EE7"/>
    <w:rsid w:val="00426019"/>
    <w:rsid w:val="00427B80"/>
    <w:rsid w:val="00430096"/>
    <w:rsid w:val="00430CA6"/>
    <w:rsid w:val="004313A9"/>
    <w:rsid w:val="004333A2"/>
    <w:rsid w:val="00433C78"/>
    <w:rsid w:val="0043587F"/>
    <w:rsid w:val="00436A0E"/>
    <w:rsid w:val="004404B8"/>
    <w:rsid w:val="004414F9"/>
    <w:rsid w:val="004419B2"/>
    <w:rsid w:val="00446679"/>
    <w:rsid w:val="00446BE8"/>
    <w:rsid w:val="00446CC2"/>
    <w:rsid w:val="004511C2"/>
    <w:rsid w:val="00452A25"/>
    <w:rsid w:val="004542B7"/>
    <w:rsid w:val="004544C7"/>
    <w:rsid w:val="004545EF"/>
    <w:rsid w:val="004552C6"/>
    <w:rsid w:val="0045537E"/>
    <w:rsid w:val="00457299"/>
    <w:rsid w:val="00460A1B"/>
    <w:rsid w:val="004630A3"/>
    <w:rsid w:val="0046668D"/>
    <w:rsid w:val="00467487"/>
    <w:rsid w:val="0047112B"/>
    <w:rsid w:val="0047180E"/>
    <w:rsid w:val="004718EF"/>
    <w:rsid w:val="004741C2"/>
    <w:rsid w:val="0047446B"/>
    <w:rsid w:val="0047640A"/>
    <w:rsid w:val="00477154"/>
    <w:rsid w:val="004773D7"/>
    <w:rsid w:val="004801C9"/>
    <w:rsid w:val="004858D6"/>
    <w:rsid w:val="0048741F"/>
    <w:rsid w:val="00491460"/>
    <w:rsid w:val="00494A54"/>
    <w:rsid w:val="00495854"/>
    <w:rsid w:val="00496295"/>
    <w:rsid w:val="00497031"/>
    <w:rsid w:val="004A06BD"/>
    <w:rsid w:val="004A19B8"/>
    <w:rsid w:val="004A2ED6"/>
    <w:rsid w:val="004A69D3"/>
    <w:rsid w:val="004A6ED2"/>
    <w:rsid w:val="004B0E14"/>
    <w:rsid w:val="004B2294"/>
    <w:rsid w:val="004B2E6B"/>
    <w:rsid w:val="004B3486"/>
    <w:rsid w:val="004B47F9"/>
    <w:rsid w:val="004B6290"/>
    <w:rsid w:val="004B6498"/>
    <w:rsid w:val="004C060C"/>
    <w:rsid w:val="004C131B"/>
    <w:rsid w:val="004C31E4"/>
    <w:rsid w:val="004C340C"/>
    <w:rsid w:val="004C3949"/>
    <w:rsid w:val="004C5211"/>
    <w:rsid w:val="004C53C9"/>
    <w:rsid w:val="004C5AD5"/>
    <w:rsid w:val="004C5E32"/>
    <w:rsid w:val="004D07CC"/>
    <w:rsid w:val="004D0D34"/>
    <w:rsid w:val="004D1D88"/>
    <w:rsid w:val="004D2500"/>
    <w:rsid w:val="004D6373"/>
    <w:rsid w:val="004D65EF"/>
    <w:rsid w:val="004D6B96"/>
    <w:rsid w:val="004E01F4"/>
    <w:rsid w:val="004E0AE8"/>
    <w:rsid w:val="004E0C5D"/>
    <w:rsid w:val="004E1406"/>
    <w:rsid w:val="004E18C1"/>
    <w:rsid w:val="004E249D"/>
    <w:rsid w:val="004E25B7"/>
    <w:rsid w:val="004E4EEE"/>
    <w:rsid w:val="004E75C9"/>
    <w:rsid w:val="004E7609"/>
    <w:rsid w:val="004E7A58"/>
    <w:rsid w:val="004E7CE3"/>
    <w:rsid w:val="004F11D8"/>
    <w:rsid w:val="004F1F55"/>
    <w:rsid w:val="004F3678"/>
    <w:rsid w:val="004F437F"/>
    <w:rsid w:val="004F660B"/>
    <w:rsid w:val="004F7B1C"/>
    <w:rsid w:val="00500CE2"/>
    <w:rsid w:val="00512F4E"/>
    <w:rsid w:val="00513C69"/>
    <w:rsid w:val="00514B3E"/>
    <w:rsid w:val="00516E14"/>
    <w:rsid w:val="00522DD5"/>
    <w:rsid w:val="00523B07"/>
    <w:rsid w:val="00523F0A"/>
    <w:rsid w:val="005249F1"/>
    <w:rsid w:val="00524D4E"/>
    <w:rsid w:val="005254F4"/>
    <w:rsid w:val="00525BC3"/>
    <w:rsid w:val="00526168"/>
    <w:rsid w:val="00526E5A"/>
    <w:rsid w:val="0052702A"/>
    <w:rsid w:val="00530E7D"/>
    <w:rsid w:val="0053430B"/>
    <w:rsid w:val="0053433B"/>
    <w:rsid w:val="00534F79"/>
    <w:rsid w:val="00535BA9"/>
    <w:rsid w:val="00535F47"/>
    <w:rsid w:val="00536522"/>
    <w:rsid w:val="005367FB"/>
    <w:rsid w:val="0053709C"/>
    <w:rsid w:val="005402ED"/>
    <w:rsid w:val="00540969"/>
    <w:rsid w:val="005409E8"/>
    <w:rsid w:val="00541066"/>
    <w:rsid w:val="00541EA0"/>
    <w:rsid w:val="0054212F"/>
    <w:rsid w:val="00542CB2"/>
    <w:rsid w:val="00543347"/>
    <w:rsid w:val="00543483"/>
    <w:rsid w:val="005455F5"/>
    <w:rsid w:val="005470DE"/>
    <w:rsid w:val="00547970"/>
    <w:rsid w:val="00550530"/>
    <w:rsid w:val="00550CC3"/>
    <w:rsid w:val="00551B28"/>
    <w:rsid w:val="005534CB"/>
    <w:rsid w:val="005568CC"/>
    <w:rsid w:val="00556D14"/>
    <w:rsid w:val="0055706B"/>
    <w:rsid w:val="0055780A"/>
    <w:rsid w:val="00557ACA"/>
    <w:rsid w:val="005601C7"/>
    <w:rsid w:val="005607F0"/>
    <w:rsid w:val="00560ECE"/>
    <w:rsid w:val="00561500"/>
    <w:rsid w:val="005629F4"/>
    <w:rsid w:val="00563A0C"/>
    <w:rsid w:val="00563B4D"/>
    <w:rsid w:val="00566B55"/>
    <w:rsid w:val="00567134"/>
    <w:rsid w:val="005700C8"/>
    <w:rsid w:val="00571219"/>
    <w:rsid w:val="00573460"/>
    <w:rsid w:val="00575F12"/>
    <w:rsid w:val="00575FE1"/>
    <w:rsid w:val="00576EA0"/>
    <w:rsid w:val="005776E0"/>
    <w:rsid w:val="0057777C"/>
    <w:rsid w:val="00580F48"/>
    <w:rsid w:val="00581D4A"/>
    <w:rsid w:val="005837D9"/>
    <w:rsid w:val="00584151"/>
    <w:rsid w:val="00585C56"/>
    <w:rsid w:val="005861AA"/>
    <w:rsid w:val="00590922"/>
    <w:rsid w:val="00590E4A"/>
    <w:rsid w:val="00592915"/>
    <w:rsid w:val="00596CB8"/>
    <w:rsid w:val="00597169"/>
    <w:rsid w:val="00597B03"/>
    <w:rsid w:val="00597B48"/>
    <w:rsid w:val="005A1437"/>
    <w:rsid w:val="005A2AC2"/>
    <w:rsid w:val="005A5E70"/>
    <w:rsid w:val="005A68CD"/>
    <w:rsid w:val="005A7148"/>
    <w:rsid w:val="005A7256"/>
    <w:rsid w:val="005B15A0"/>
    <w:rsid w:val="005B4704"/>
    <w:rsid w:val="005B4A28"/>
    <w:rsid w:val="005C393C"/>
    <w:rsid w:val="005C4ABA"/>
    <w:rsid w:val="005C6A1D"/>
    <w:rsid w:val="005D12F1"/>
    <w:rsid w:val="005D1979"/>
    <w:rsid w:val="005D1DBB"/>
    <w:rsid w:val="005D6F08"/>
    <w:rsid w:val="005E0031"/>
    <w:rsid w:val="005E0BF6"/>
    <w:rsid w:val="005E11A6"/>
    <w:rsid w:val="005E1F73"/>
    <w:rsid w:val="005E2438"/>
    <w:rsid w:val="005E3E49"/>
    <w:rsid w:val="005E5A23"/>
    <w:rsid w:val="005E6D22"/>
    <w:rsid w:val="005F3069"/>
    <w:rsid w:val="005F388F"/>
    <w:rsid w:val="005F4AA3"/>
    <w:rsid w:val="005F6213"/>
    <w:rsid w:val="00600059"/>
    <w:rsid w:val="00600E25"/>
    <w:rsid w:val="00601022"/>
    <w:rsid w:val="00601611"/>
    <w:rsid w:val="006016D1"/>
    <w:rsid w:val="00601866"/>
    <w:rsid w:val="006026B7"/>
    <w:rsid w:val="0060316B"/>
    <w:rsid w:val="006047F1"/>
    <w:rsid w:val="00605420"/>
    <w:rsid w:val="00605C7F"/>
    <w:rsid w:val="00605F94"/>
    <w:rsid w:val="00610D85"/>
    <w:rsid w:val="006116E9"/>
    <w:rsid w:val="00611C5D"/>
    <w:rsid w:val="00612FDA"/>
    <w:rsid w:val="00614E19"/>
    <w:rsid w:val="00615B01"/>
    <w:rsid w:val="00615D39"/>
    <w:rsid w:val="00616646"/>
    <w:rsid w:val="00617BFA"/>
    <w:rsid w:val="0062185C"/>
    <w:rsid w:val="0062192F"/>
    <w:rsid w:val="00623639"/>
    <w:rsid w:val="00627277"/>
    <w:rsid w:val="0062769F"/>
    <w:rsid w:val="00627B72"/>
    <w:rsid w:val="00630124"/>
    <w:rsid w:val="00631872"/>
    <w:rsid w:val="00631BA9"/>
    <w:rsid w:val="00632457"/>
    <w:rsid w:val="00633693"/>
    <w:rsid w:val="00633EF8"/>
    <w:rsid w:val="006352FF"/>
    <w:rsid w:val="006379A3"/>
    <w:rsid w:val="00640CE3"/>
    <w:rsid w:val="006427BD"/>
    <w:rsid w:val="00644290"/>
    <w:rsid w:val="00651CFF"/>
    <w:rsid w:val="0065250A"/>
    <w:rsid w:val="00652569"/>
    <w:rsid w:val="00654FD1"/>
    <w:rsid w:val="00656CD1"/>
    <w:rsid w:val="00657663"/>
    <w:rsid w:val="00660374"/>
    <w:rsid w:val="00660BE9"/>
    <w:rsid w:val="00662911"/>
    <w:rsid w:val="00663795"/>
    <w:rsid w:val="00664289"/>
    <w:rsid w:val="0067053F"/>
    <w:rsid w:val="00670C57"/>
    <w:rsid w:val="00670E44"/>
    <w:rsid w:val="0067133F"/>
    <w:rsid w:val="00671728"/>
    <w:rsid w:val="00671D64"/>
    <w:rsid w:val="00672A21"/>
    <w:rsid w:val="0067324A"/>
    <w:rsid w:val="0067407F"/>
    <w:rsid w:val="00677E3E"/>
    <w:rsid w:val="00682501"/>
    <w:rsid w:val="0068532A"/>
    <w:rsid w:val="00686500"/>
    <w:rsid w:val="00687317"/>
    <w:rsid w:val="0068795C"/>
    <w:rsid w:val="00692743"/>
    <w:rsid w:val="00694AC2"/>
    <w:rsid w:val="006954D2"/>
    <w:rsid w:val="00697930"/>
    <w:rsid w:val="006A0A29"/>
    <w:rsid w:val="006A2914"/>
    <w:rsid w:val="006A3276"/>
    <w:rsid w:val="006A350A"/>
    <w:rsid w:val="006A427F"/>
    <w:rsid w:val="006A4E93"/>
    <w:rsid w:val="006A5A06"/>
    <w:rsid w:val="006A5D9B"/>
    <w:rsid w:val="006A7892"/>
    <w:rsid w:val="006B0FF0"/>
    <w:rsid w:val="006B24CF"/>
    <w:rsid w:val="006B3605"/>
    <w:rsid w:val="006B46A8"/>
    <w:rsid w:val="006B480F"/>
    <w:rsid w:val="006B4AE4"/>
    <w:rsid w:val="006B58D2"/>
    <w:rsid w:val="006B64D8"/>
    <w:rsid w:val="006C0433"/>
    <w:rsid w:val="006C09CB"/>
    <w:rsid w:val="006C14B4"/>
    <w:rsid w:val="006C312D"/>
    <w:rsid w:val="006C3158"/>
    <w:rsid w:val="006C45D2"/>
    <w:rsid w:val="006C5B16"/>
    <w:rsid w:val="006C6FB0"/>
    <w:rsid w:val="006D1104"/>
    <w:rsid w:val="006D122F"/>
    <w:rsid w:val="006D16F4"/>
    <w:rsid w:val="006D211E"/>
    <w:rsid w:val="006D35CE"/>
    <w:rsid w:val="006D3DFA"/>
    <w:rsid w:val="006D7242"/>
    <w:rsid w:val="006D7308"/>
    <w:rsid w:val="006E01FA"/>
    <w:rsid w:val="006E0CF9"/>
    <w:rsid w:val="006E492C"/>
    <w:rsid w:val="006E4FBF"/>
    <w:rsid w:val="006E4FD9"/>
    <w:rsid w:val="006E607E"/>
    <w:rsid w:val="006E6D6A"/>
    <w:rsid w:val="006F36C2"/>
    <w:rsid w:val="006F4DD1"/>
    <w:rsid w:val="006F52DB"/>
    <w:rsid w:val="006F5CAD"/>
    <w:rsid w:val="006F5F0F"/>
    <w:rsid w:val="006F74E3"/>
    <w:rsid w:val="00700C16"/>
    <w:rsid w:val="007032F6"/>
    <w:rsid w:val="00703440"/>
    <w:rsid w:val="0070521F"/>
    <w:rsid w:val="007068A8"/>
    <w:rsid w:val="007071AC"/>
    <w:rsid w:val="00707206"/>
    <w:rsid w:val="00707BA5"/>
    <w:rsid w:val="00707F55"/>
    <w:rsid w:val="00710D63"/>
    <w:rsid w:val="007124D1"/>
    <w:rsid w:val="00715A86"/>
    <w:rsid w:val="00716BEB"/>
    <w:rsid w:val="00721C47"/>
    <w:rsid w:val="00721F87"/>
    <w:rsid w:val="00722036"/>
    <w:rsid w:val="00722D6C"/>
    <w:rsid w:val="0072498C"/>
    <w:rsid w:val="00724EF2"/>
    <w:rsid w:val="00725131"/>
    <w:rsid w:val="00725DEB"/>
    <w:rsid w:val="00727737"/>
    <w:rsid w:val="00730CE7"/>
    <w:rsid w:val="00732501"/>
    <w:rsid w:val="00732DBF"/>
    <w:rsid w:val="007343F6"/>
    <w:rsid w:val="00734D83"/>
    <w:rsid w:val="007354C1"/>
    <w:rsid w:val="00736738"/>
    <w:rsid w:val="00741DB2"/>
    <w:rsid w:val="00742855"/>
    <w:rsid w:val="00742D30"/>
    <w:rsid w:val="007463F1"/>
    <w:rsid w:val="00746FDB"/>
    <w:rsid w:val="0075146B"/>
    <w:rsid w:val="00752416"/>
    <w:rsid w:val="00752AAA"/>
    <w:rsid w:val="007538A8"/>
    <w:rsid w:val="00755AE8"/>
    <w:rsid w:val="007576D2"/>
    <w:rsid w:val="0075789B"/>
    <w:rsid w:val="00760B20"/>
    <w:rsid w:val="0076264D"/>
    <w:rsid w:val="007641D6"/>
    <w:rsid w:val="00764E8B"/>
    <w:rsid w:val="00765413"/>
    <w:rsid w:val="00766BD4"/>
    <w:rsid w:val="00771688"/>
    <w:rsid w:val="00771E4B"/>
    <w:rsid w:val="00772A85"/>
    <w:rsid w:val="00774D8E"/>
    <w:rsid w:val="00780866"/>
    <w:rsid w:val="00782289"/>
    <w:rsid w:val="0078500A"/>
    <w:rsid w:val="0078555B"/>
    <w:rsid w:val="00787A2B"/>
    <w:rsid w:val="00790436"/>
    <w:rsid w:val="007905B0"/>
    <w:rsid w:val="007907A8"/>
    <w:rsid w:val="007912B5"/>
    <w:rsid w:val="00791D80"/>
    <w:rsid w:val="00793710"/>
    <w:rsid w:val="00793DF6"/>
    <w:rsid w:val="00795F98"/>
    <w:rsid w:val="007972C5"/>
    <w:rsid w:val="007A0D46"/>
    <w:rsid w:val="007A259A"/>
    <w:rsid w:val="007A261A"/>
    <w:rsid w:val="007A42FA"/>
    <w:rsid w:val="007A4CB6"/>
    <w:rsid w:val="007A6411"/>
    <w:rsid w:val="007A6522"/>
    <w:rsid w:val="007A774A"/>
    <w:rsid w:val="007A7B43"/>
    <w:rsid w:val="007B16D6"/>
    <w:rsid w:val="007B474A"/>
    <w:rsid w:val="007B7257"/>
    <w:rsid w:val="007B783B"/>
    <w:rsid w:val="007C2406"/>
    <w:rsid w:val="007C3BD4"/>
    <w:rsid w:val="007C4571"/>
    <w:rsid w:val="007C4666"/>
    <w:rsid w:val="007C49F3"/>
    <w:rsid w:val="007D1087"/>
    <w:rsid w:val="007D33D0"/>
    <w:rsid w:val="007D34E6"/>
    <w:rsid w:val="007D35DC"/>
    <w:rsid w:val="007D457B"/>
    <w:rsid w:val="007D4F39"/>
    <w:rsid w:val="007D79EB"/>
    <w:rsid w:val="007E0992"/>
    <w:rsid w:val="007E0B78"/>
    <w:rsid w:val="007E59E0"/>
    <w:rsid w:val="007E5C64"/>
    <w:rsid w:val="007E677F"/>
    <w:rsid w:val="007F1617"/>
    <w:rsid w:val="007F474A"/>
    <w:rsid w:val="007F601C"/>
    <w:rsid w:val="007F727F"/>
    <w:rsid w:val="0080274C"/>
    <w:rsid w:val="00805B5D"/>
    <w:rsid w:val="00806CFD"/>
    <w:rsid w:val="00811F29"/>
    <w:rsid w:val="00812EEF"/>
    <w:rsid w:val="0081400C"/>
    <w:rsid w:val="00814083"/>
    <w:rsid w:val="00814A63"/>
    <w:rsid w:val="00814AB5"/>
    <w:rsid w:val="0081524C"/>
    <w:rsid w:val="0082149A"/>
    <w:rsid w:val="00821AA2"/>
    <w:rsid w:val="00821F57"/>
    <w:rsid w:val="0082207B"/>
    <w:rsid w:val="0082458F"/>
    <w:rsid w:val="00830213"/>
    <w:rsid w:val="008337FF"/>
    <w:rsid w:val="00833D1A"/>
    <w:rsid w:val="008348BA"/>
    <w:rsid w:val="00834908"/>
    <w:rsid w:val="008370CE"/>
    <w:rsid w:val="008378CA"/>
    <w:rsid w:val="008402BC"/>
    <w:rsid w:val="00841B10"/>
    <w:rsid w:val="008431C7"/>
    <w:rsid w:val="0084335F"/>
    <w:rsid w:val="0084354E"/>
    <w:rsid w:val="0084372D"/>
    <w:rsid w:val="0084380C"/>
    <w:rsid w:val="00843C65"/>
    <w:rsid w:val="00844123"/>
    <w:rsid w:val="00844E17"/>
    <w:rsid w:val="008454D8"/>
    <w:rsid w:val="00847A6A"/>
    <w:rsid w:val="00851035"/>
    <w:rsid w:val="008610CA"/>
    <w:rsid w:val="0086385A"/>
    <w:rsid w:val="00863E7D"/>
    <w:rsid w:val="00865C6C"/>
    <w:rsid w:val="00865C90"/>
    <w:rsid w:val="008667F2"/>
    <w:rsid w:val="00870793"/>
    <w:rsid w:val="00872DE4"/>
    <w:rsid w:val="00872EA0"/>
    <w:rsid w:val="00873324"/>
    <w:rsid w:val="0088092A"/>
    <w:rsid w:val="008818D1"/>
    <w:rsid w:val="00882306"/>
    <w:rsid w:val="0088299A"/>
    <w:rsid w:val="00884F34"/>
    <w:rsid w:val="00884F49"/>
    <w:rsid w:val="00886962"/>
    <w:rsid w:val="00886F51"/>
    <w:rsid w:val="00887F32"/>
    <w:rsid w:val="00892730"/>
    <w:rsid w:val="00893053"/>
    <w:rsid w:val="0089329A"/>
    <w:rsid w:val="0089469E"/>
    <w:rsid w:val="00895C19"/>
    <w:rsid w:val="00897ED1"/>
    <w:rsid w:val="008A0F06"/>
    <w:rsid w:val="008A2BDA"/>
    <w:rsid w:val="008A4853"/>
    <w:rsid w:val="008A6984"/>
    <w:rsid w:val="008A6AE1"/>
    <w:rsid w:val="008A7633"/>
    <w:rsid w:val="008A768C"/>
    <w:rsid w:val="008B0037"/>
    <w:rsid w:val="008B0494"/>
    <w:rsid w:val="008B0A32"/>
    <w:rsid w:val="008B1D79"/>
    <w:rsid w:val="008B3958"/>
    <w:rsid w:val="008B3AC4"/>
    <w:rsid w:val="008C040F"/>
    <w:rsid w:val="008C1AFD"/>
    <w:rsid w:val="008C2933"/>
    <w:rsid w:val="008C53D5"/>
    <w:rsid w:val="008C7136"/>
    <w:rsid w:val="008C7497"/>
    <w:rsid w:val="008D06B5"/>
    <w:rsid w:val="008D0E82"/>
    <w:rsid w:val="008D0F80"/>
    <w:rsid w:val="008D1131"/>
    <w:rsid w:val="008D14A1"/>
    <w:rsid w:val="008D211C"/>
    <w:rsid w:val="008D2643"/>
    <w:rsid w:val="008D4017"/>
    <w:rsid w:val="008D512B"/>
    <w:rsid w:val="008D6EC3"/>
    <w:rsid w:val="008D7C24"/>
    <w:rsid w:val="008E068F"/>
    <w:rsid w:val="008E083A"/>
    <w:rsid w:val="008E08C2"/>
    <w:rsid w:val="008E2021"/>
    <w:rsid w:val="008E2178"/>
    <w:rsid w:val="008E4B6D"/>
    <w:rsid w:val="008E4E00"/>
    <w:rsid w:val="008E4F7B"/>
    <w:rsid w:val="008E58C4"/>
    <w:rsid w:val="008E5C9B"/>
    <w:rsid w:val="008E76A7"/>
    <w:rsid w:val="008F0923"/>
    <w:rsid w:val="008F21DC"/>
    <w:rsid w:val="008F2905"/>
    <w:rsid w:val="00900292"/>
    <w:rsid w:val="00900C29"/>
    <w:rsid w:val="0090124A"/>
    <w:rsid w:val="009012E9"/>
    <w:rsid w:val="00906F22"/>
    <w:rsid w:val="0090711C"/>
    <w:rsid w:val="009076F1"/>
    <w:rsid w:val="00907E39"/>
    <w:rsid w:val="009108BF"/>
    <w:rsid w:val="00910B5C"/>
    <w:rsid w:val="00911616"/>
    <w:rsid w:val="009122A6"/>
    <w:rsid w:val="009134CF"/>
    <w:rsid w:val="00914526"/>
    <w:rsid w:val="00914D16"/>
    <w:rsid w:val="00914DAD"/>
    <w:rsid w:val="00915562"/>
    <w:rsid w:val="00915693"/>
    <w:rsid w:val="009164A7"/>
    <w:rsid w:val="00917211"/>
    <w:rsid w:val="009172A9"/>
    <w:rsid w:val="00920FCF"/>
    <w:rsid w:val="009215B4"/>
    <w:rsid w:val="00922C34"/>
    <w:rsid w:val="00924CC4"/>
    <w:rsid w:val="009255F0"/>
    <w:rsid w:val="009255FE"/>
    <w:rsid w:val="009257AC"/>
    <w:rsid w:val="00927B5A"/>
    <w:rsid w:val="00930C4C"/>
    <w:rsid w:val="00932335"/>
    <w:rsid w:val="0093534A"/>
    <w:rsid w:val="00935E40"/>
    <w:rsid w:val="00936B75"/>
    <w:rsid w:val="009416E3"/>
    <w:rsid w:val="00943E96"/>
    <w:rsid w:val="00945836"/>
    <w:rsid w:val="0095140A"/>
    <w:rsid w:val="00951519"/>
    <w:rsid w:val="00951F7F"/>
    <w:rsid w:val="009525A1"/>
    <w:rsid w:val="00954CAF"/>
    <w:rsid w:val="009567BD"/>
    <w:rsid w:val="00957B66"/>
    <w:rsid w:val="009635DF"/>
    <w:rsid w:val="009664C4"/>
    <w:rsid w:val="00966ACB"/>
    <w:rsid w:val="009710AA"/>
    <w:rsid w:val="0097127F"/>
    <w:rsid w:val="00971325"/>
    <w:rsid w:val="0097296A"/>
    <w:rsid w:val="009751E0"/>
    <w:rsid w:val="00975CEB"/>
    <w:rsid w:val="00977905"/>
    <w:rsid w:val="00977BEE"/>
    <w:rsid w:val="00977E59"/>
    <w:rsid w:val="00980B0C"/>
    <w:rsid w:val="0098108B"/>
    <w:rsid w:val="00981602"/>
    <w:rsid w:val="00981976"/>
    <w:rsid w:val="009826CF"/>
    <w:rsid w:val="00984CA5"/>
    <w:rsid w:val="00984FF3"/>
    <w:rsid w:val="009906BF"/>
    <w:rsid w:val="0099336A"/>
    <w:rsid w:val="00993539"/>
    <w:rsid w:val="00993A43"/>
    <w:rsid w:val="00994D19"/>
    <w:rsid w:val="00995E5C"/>
    <w:rsid w:val="0099712F"/>
    <w:rsid w:val="009A27A7"/>
    <w:rsid w:val="009A4C9D"/>
    <w:rsid w:val="009A5F45"/>
    <w:rsid w:val="009A64A5"/>
    <w:rsid w:val="009A65CC"/>
    <w:rsid w:val="009A74F6"/>
    <w:rsid w:val="009A7EF0"/>
    <w:rsid w:val="009B1C35"/>
    <w:rsid w:val="009B2D13"/>
    <w:rsid w:val="009B451F"/>
    <w:rsid w:val="009B7CB9"/>
    <w:rsid w:val="009B7F8A"/>
    <w:rsid w:val="009C01F4"/>
    <w:rsid w:val="009C2678"/>
    <w:rsid w:val="009C4816"/>
    <w:rsid w:val="009C5334"/>
    <w:rsid w:val="009C667C"/>
    <w:rsid w:val="009C77DF"/>
    <w:rsid w:val="009D0F82"/>
    <w:rsid w:val="009D2483"/>
    <w:rsid w:val="009D36CC"/>
    <w:rsid w:val="009D5A69"/>
    <w:rsid w:val="009E000B"/>
    <w:rsid w:val="009E0CA9"/>
    <w:rsid w:val="009E1011"/>
    <w:rsid w:val="009E1BE6"/>
    <w:rsid w:val="009E1DBE"/>
    <w:rsid w:val="009E1F5A"/>
    <w:rsid w:val="009E3350"/>
    <w:rsid w:val="009E4AF9"/>
    <w:rsid w:val="009E5573"/>
    <w:rsid w:val="009E69E6"/>
    <w:rsid w:val="009E74A4"/>
    <w:rsid w:val="009E760B"/>
    <w:rsid w:val="009F0CEC"/>
    <w:rsid w:val="009F1D27"/>
    <w:rsid w:val="009F238D"/>
    <w:rsid w:val="009F25E7"/>
    <w:rsid w:val="009F45FF"/>
    <w:rsid w:val="009F5B10"/>
    <w:rsid w:val="009F7274"/>
    <w:rsid w:val="009F7EE8"/>
    <w:rsid w:val="00A0014C"/>
    <w:rsid w:val="00A03010"/>
    <w:rsid w:val="00A03706"/>
    <w:rsid w:val="00A03B25"/>
    <w:rsid w:val="00A03FCC"/>
    <w:rsid w:val="00A0484F"/>
    <w:rsid w:val="00A07F49"/>
    <w:rsid w:val="00A104EC"/>
    <w:rsid w:val="00A1084C"/>
    <w:rsid w:val="00A111FB"/>
    <w:rsid w:val="00A113A6"/>
    <w:rsid w:val="00A11567"/>
    <w:rsid w:val="00A1509F"/>
    <w:rsid w:val="00A15331"/>
    <w:rsid w:val="00A15CB9"/>
    <w:rsid w:val="00A17411"/>
    <w:rsid w:val="00A17729"/>
    <w:rsid w:val="00A17821"/>
    <w:rsid w:val="00A17FCA"/>
    <w:rsid w:val="00A216DA"/>
    <w:rsid w:val="00A228AB"/>
    <w:rsid w:val="00A22D4B"/>
    <w:rsid w:val="00A23377"/>
    <w:rsid w:val="00A242E6"/>
    <w:rsid w:val="00A27711"/>
    <w:rsid w:val="00A33151"/>
    <w:rsid w:val="00A34454"/>
    <w:rsid w:val="00A346B9"/>
    <w:rsid w:val="00A354D2"/>
    <w:rsid w:val="00A366A0"/>
    <w:rsid w:val="00A36FAA"/>
    <w:rsid w:val="00A37A1F"/>
    <w:rsid w:val="00A40978"/>
    <w:rsid w:val="00A424C6"/>
    <w:rsid w:val="00A42B7A"/>
    <w:rsid w:val="00A4323D"/>
    <w:rsid w:val="00A43A19"/>
    <w:rsid w:val="00A43BA4"/>
    <w:rsid w:val="00A449BD"/>
    <w:rsid w:val="00A455F9"/>
    <w:rsid w:val="00A475AF"/>
    <w:rsid w:val="00A506FF"/>
    <w:rsid w:val="00A50727"/>
    <w:rsid w:val="00A55288"/>
    <w:rsid w:val="00A57E63"/>
    <w:rsid w:val="00A600C0"/>
    <w:rsid w:val="00A61190"/>
    <w:rsid w:val="00A644A1"/>
    <w:rsid w:val="00A6534B"/>
    <w:rsid w:val="00A65AF7"/>
    <w:rsid w:val="00A665FF"/>
    <w:rsid w:val="00A66616"/>
    <w:rsid w:val="00A669E0"/>
    <w:rsid w:val="00A6705C"/>
    <w:rsid w:val="00A723E8"/>
    <w:rsid w:val="00A74556"/>
    <w:rsid w:val="00A74EF1"/>
    <w:rsid w:val="00A75AFB"/>
    <w:rsid w:val="00A76650"/>
    <w:rsid w:val="00A801BF"/>
    <w:rsid w:val="00A80351"/>
    <w:rsid w:val="00A804AB"/>
    <w:rsid w:val="00A8133A"/>
    <w:rsid w:val="00A823DC"/>
    <w:rsid w:val="00A82966"/>
    <w:rsid w:val="00A85C8D"/>
    <w:rsid w:val="00A85E3B"/>
    <w:rsid w:val="00A86381"/>
    <w:rsid w:val="00A8737A"/>
    <w:rsid w:val="00A87439"/>
    <w:rsid w:val="00A87EDB"/>
    <w:rsid w:val="00A91471"/>
    <w:rsid w:val="00A93DB8"/>
    <w:rsid w:val="00A96115"/>
    <w:rsid w:val="00A96670"/>
    <w:rsid w:val="00AA12B3"/>
    <w:rsid w:val="00AA2BBD"/>
    <w:rsid w:val="00AA3CD1"/>
    <w:rsid w:val="00AA4B0E"/>
    <w:rsid w:val="00AA4B44"/>
    <w:rsid w:val="00AA4E53"/>
    <w:rsid w:val="00AA5D3C"/>
    <w:rsid w:val="00AA5F2A"/>
    <w:rsid w:val="00AA6750"/>
    <w:rsid w:val="00AA6811"/>
    <w:rsid w:val="00AA71CF"/>
    <w:rsid w:val="00AB06E5"/>
    <w:rsid w:val="00AB0B37"/>
    <w:rsid w:val="00AB1094"/>
    <w:rsid w:val="00AB225B"/>
    <w:rsid w:val="00AB42AD"/>
    <w:rsid w:val="00AC0390"/>
    <w:rsid w:val="00AC0F3B"/>
    <w:rsid w:val="00AC118F"/>
    <w:rsid w:val="00AC2D2A"/>
    <w:rsid w:val="00AC45D0"/>
    <w:rsid w:val="00AC7D79"/>
    <w:rsid w:val="00AD1158"/>
    <w:rsid w:val="00AD1D18"/>
    <w:rsid w:val="00AD2DAB"/>
    <w:rsid w:val="00AD3051"/>
    <w:rsid w:val="00AD5193"/>
    <w:rsid w:val="00AD65CB"/>
    <w:rsid w:val="00AE002E"/>
    <w:rsid w:val="00AE165B"/>
    <w:rsid w:val="00AE2BAA"/>
    <w:rsid w:val="00AE65FF"/>
    <w:rsid w:val="00AE66D6"/>
    <w:rsid w:val="00AE71E3"/>
    <w:rsid w:val="00AE7BC3"/>
    <w:rsid w:val="00AE7CC0"/>
    <w:rsid w:val="00AF0193"/>
    <w:rsid w:val="00AF0472"/>
    <w:rsid w:val="00AF370F"/>
    <w:rsid w:val="00AF4E10"/>
    <w:rsid w:val="00AF5341"/>
    <w:rsid w:val="00AF60FE"/>
    <w:rsid w:val="00AF6F16"/>
    <w:rsid w:val="00B0077C"/>
    <w:rsid w:val="00B02446"/>
    <w:rsid w:val="00B02820"/>
    <w:rsid w:val="00B04186"/>
    <w:rsid w:val="00B1028D"/>
    <w:rsid w:val="00B139C9"/>
    <w:rsid w:val="00B1584A"/>
    <w:rsid w:val="00B162F7"/>
    <w:rsid w:val="00B21B76"/>
    <w:rsid w:val="00B26967"/>
    <w:rsid w:val="00B303C6"/>
    <w:rsid w:val="00B30ABF"/>
    <w:rsid w:val="00B312CD"/>
    <w:rsid w:val="00B316E8"/>
    <w:rsid w:val="00B31AC1"/>
    <w:rsid w:val="00B33900"/>
    <w:rsid w:val="00B33FD9"/>
    <w:rsid w:val="00B34353"/>
    <w:rsid w:val="00B34AAF"/>
    <w:rsid w:val="00B34BC8"/>
    <w:rsid w:val="00B350CF"/>
    <w:rsid w:val="00B359E9"/>
    <w:rsid w:val="00B35E49"/>
    <w:rsid w:val="00B42941"/>
    <w:rsid w:val="00B42EF5"/>
    <w:rsid w:val="00B42FB4"/>
    <w:rsid w:val="00B446D2"/>
    <w:rsid w:val="00B44DCD"/>
    <w:rsid w:val="00B455C1"/>
    <w:rsid w:val="00B46C83"/>
    <w:rsid w:val="00B46DD1"/>
    <w:rsid w:val="00B479C2"/>
    <w:rsid w:val="00B508F1"/>
    <w:rsid w:val="00B5269D"/>
    <w:rsid w:val="00B52D89"/>
    <w:rsid w:val="00B537AE"/>
    <w:rsid w:val="00B54250"/>
    <w:rsid w:val="00B547B4"/>
    <w:rsid w:val="00B55668"/>
    <w:rsid w:val="00B56214"/>
    <w:rsid w:val="00B56B19"/>
    <w:rsid w:val="00B57A3B"/>
    <w:rsid w:val="00B60347"/>
    <w:rsid w:val="00B61107"/>
    <w:rsid w:val="00B615AF"/>
    <w:rsid w:val="00B6298D"/>
    <w:rsid w:val="00B632B4"/>
    <w:rsid w:val="00B66D7F"/>
    <w:rsid w:val="00B70BB3"/>
    <w:rsid w:val="00B71812"/>
    <w:rsid w:val="00B71DF5"/>
    <w:rsid w:val="00B72CDF"/>
    <w:rsid w:val="00B73332"/>
    <w:rsid w:val="00B74317"/>
    <w:rsid w:val="00B76A61"/>
    <w:rsid w:val="00B77DE3"/>
    <w:rsid w:val="00B8031E"/>
    <w:rsid w:val="00B806A4"/>
    <w:rsid w:val="00B811D5"/>
    <w:rsid w:val="00B82105"/>
    <w:rsid w:val="00B83DB5"/>
    <w:rsid w:val="00B841C1"/>
    <w:rsid w:val="00B84459"/>
    <w:rsid w:val="00B85829"/>
    <w:rsid w:val="00B86B79"/>
    <w:rsid w:val="00B87D57"/>
    <w:rsid w:val="00B91003"/>
    <w:rsid w:val="00B92A90"/>
    <w:rsid w:val="00B92BC1"/>
    <w:rsid w:val="00B94AA8"/>
    <w:rsid w:val="00B94B74"/>
    <w:rsid w:val="00B9526F"/>
    <w:rsid w:val="00B9558E"/>
    <w:rsid w:val="00BA00E2"/>
    <w:rsid w:val="00BA083F"/>
    <w:rsid w:val="00BA5A4E"/>
    <w:rsid w:val="00BA6854"/>
    <w:rsid w:val="00BA6E0E"/>
    <w:rsid w:val="00BA6E3C"/>
    <w:rsid w:val="00BA6F69"/>
    <w:rsid w:val="00BA783A"/>
    <w:rsid w:val="00BB076A"/>
    <w:rsid w:val="00BB0AC5"/>
    <w:rsid w:val="00BB4769"/>
    <w:rsid w:val="00BB52C4"/>
    <w:rsid w:val="00BB5D0F"/>
    <w:rsid w:val="00BB5E18"/>
    <w:rsid w:val="00BB5EBE"/>
    <w:rsid w:val="00BB6A41"/>
    <w:rsid w:val="00BC0187"/>
    <w:rsid w:val="00BC292D"/>
    <w:rsid w:val="00BC5981"/>
    <w:rsid w:val="00BC5BB8"/>
    <w:rsid w:val="00BC7538"/>
    <w:rsid w:val="00BD05C2"/>
    <w:rsid w:val="00BD0900"/>
    <w:rsid w:val="00BD2160"/>
    <w:rsid w:val="00BD2806"/>
    <w:rsid w:val="00BD320B"/>
    <w:rsid w:val="00BD3CCD"/>
    <w:rsid w:val="00BD4E1F"/>
    <w:rsid w:val="00BD4FFC"/>
    <w:rsid w:val="00BE0B58"/>
    <w:rsid w:val="00BE0E1D"/>
    <w:rsid w:val="00BE1154"/>
    <w:rsid w:val="00BE195F"/>
    <w:rsid w:val="00BE1CF9"/>
    <w:rsid w:val="00BE2C1B"/>
    <w:rsid w:val="00BE607B"/>
    <w:rsid w:val="00BE6B74"/>
    <w:rsid w:val="00BF0D57"/>
    <w:rsid w:val="00BF1783"/>
    <w:rsid w:val="00BF3204"/>
    <w:rsid w:val="00BF3BF5"/>
    <w:rsid w:val="00BF58D3"/>
    <w:rsid w:val="00BF6D93"/>
    <w:rsid w:val="00BF78BA"/>
    <w:rsid w:val="00C0168A"/>
    <w:rsid w:val="00C01E91"/>
    <w:rsid w:val="00C02250"/>
    <w:rsid w:val="00C034DE"/>
    <w:rsid w:val="00C10A72"/>
    <w:rsid w:val="00C1116C"/>
    <w:rsid w:val="00C13723"/>
    <w:rsid w:val="00C13BDD"/>
    <w:rsid w:val="00C164B0"/>
    <w:rsid w:val="00C17A08"/>
    <w:rsid w:val="00C23F66"/>
    <w:rsid w:val="00C2477C"/>
    <w:rsid w:val="00C2592B"/>
    <w:rsid w:val="00C26756"/>
    <w:rsid w:val="00C305DC"/>
    <w:rsid w:val="00C30F80"/>
    <w:rsid w:val="00C331AA"/>
    <w:rsid w:val="00C33623"/>
    <w:rsid w:val="00C34D72"/>
    <w:rsid w:val="00C36AE6"/>
    <w:rsid w:val="00C375E9"/>
    <w:rsid w:val="00C410FB"/>
    <w:rsid w:val="00C420EE"/>
    <w:rsid w:val="00C4512C"/>
    <w:rsid w:val="00C504B3"/>
    <w:rsid w:val="00C50A8F"/>
    <w:rsid w:val="00C51926"/>
    <w:rsid w:val="00C51948"/>
    <w:rsid w:val="00C51E3E"/>
    <w:rsid w:val="00C51FBC"/>
    <w:rsid w:val="00C521D8"/>
    <w:rsid w:val="00C52664"/>
    <w:rsid w:val="00C54A3E"/>
    <w:rsid w:val="00C56678"/>
    <w:rsid w:val="00C57438"/>
    <w:rsid w:val="00C57CFE"/>
    <w:rsid w:val="00C61065"/>
    <w:rsid w:val="00C61C81"/>
    <w:rsid w:val="00C6332A"/>
    <w:rsid w:val="00C63DB4"/>
    <w:rsid w:val="00C6507A"/>
    <w:rsid w:val="00C654B0"/>
    <w:rsid w:val="00C65D56"/>
    <w:rsid w:val="00C67110"/>
    <w:rsid w:val="00C70AE6"/>
    <w:rsid w:val="00C70D35"/>
    <w:rsid w:val="00C7132D"/>
    <w:rsid w:val="00C7203C"/>
    <w:rsid w:val="00C72456"/>
    <w:rsid w:val="00C742D7"/>
    <w:rsid w:val="00C756D4"/>
    <w:rsid w:val="00C7610C"/>
    <w:rsid w:val="00C776C0"/>
    <w:rsid w:val="00C82630"/>
    <w:rsid w:val="00C8662A"/>
    <w:rsid w:val="00C876C0"/>
    <w:rsid w:val="00C908D7"/>
    <w:rsid w:val="00C90ADC"/>
    <w:rsid w:val="00C90D10"/>
    <w:rsid w:val="00C91E90"/>
    <w:rsid w:val="00C92DAF"/>
    <w:rsid w:val="00C96608"/>
    <w:rsid w:val="00CA06CE"/>
    <w:rsid w:val="00CA1069"/>
    <w:rsid w:val="00CA3F02"/>
    <w:rsid w:val="00CA4325"/>
    <w:rsid w:val="00CB035B"/>
    <w:rsid w:val="00CB1221"/>
    <w:rsid w:val="00CB1B26"/>
    <w:rsid w:val="00CB1EBB"/>
    <w:rsid w:val="00CB35EB"/>
    <w:rsid w:val="00CB4AD5"/>
    <w:rsid w:val="00CB5FDA"/>
    <w:rsid w:val="00CB7061"/>
    <w:rsid w:val="00CC02D6"/>
    <w:rsid w:val="00CC07DF"/>
    <w:rsid w:val="00CC1228"/>
    <w:rsid w:val="00CC136D"/>
    <w:rsid w:val="00CC1BF4"/>
    <w:rsid w:val="00CC27A3"/>
    <w:rsid w:val="00CC66E7"/>
    <w:rsid w:val="00CC6968"/>
    <w:rsid w:val="00CC6DFE"/>
    <w:rsid w:val="00CD0083"/>
    <w:rsid w:val="00CD1084"/>
    <w:rsid w:val="00CD2FD5"/>
    <w:rsid w:val="00CD3369"/>
    <w:rsid w:val="00CD34A1"/>
    <w:rsid w:val="00CD3880"/>
    <w:rsid w:val="00CD46F3"/>
    <w:rsid w:val="00CD4DC9"/>
    <w:rsid w:val="00CD55C8"/>
    <w:rsid w:val="00CD59A0"/>
    <w:rsid w:val="00CD5CB3"/>
    <w:rsid w:val="00CD6851"/>
    <w:rsid w:val="00CD6886"/>
    <w:rsid w:val="00CD6ACD"/>
    <w:rsid w:val="00CD6C77"/>
    <w:rsid w:val="00CD7F55"/>
    <w:rsid w:val="00CE1EAC"/>
    <w:rsid w:val="00CE33E6"/>
    <w:rsid w:val="00CE5FCB"/>
    <w:rsid w:val="00CF0803"/>
    <w:rsid w:val="00CF3FED"/>
    <w:rsid w:val="00CF413C"/>
    <w:rsid w:val="00CF61D2"/>
    <w:rsid w:val="00D00B1F"/>
    <w:rsid w:val="00D00C2B"/>
    <w:rsid w:val="00D030BA"/>
    <w:rsid w:val="00D033C2"/>
    <w:rsid w:val="00D03C5B"/>
    <w:rsid w:val="00D05C16"/>
    <w:rsid w:val="00D06270"/>
    <w:rsid w:val="00D10384"/>
    <w:rsid w:val="00D13704"/>
    <w:rsid w:val="00D13ED9"/>
    <w:rsid w:val="00D1643B"/>
    <w:rsid w:val="00D205C3"/>
    <w:rsid w:val="00D216D4"/>
    <w:rsid w:val="00D229E9"/>
    <w:rsid w:val="00D22D79"/>
    <w:rsid w:val="00D23A53"/>
    <w:rsid w:val="00D24AA0"/>
    <w:rsid w:val="00D26CB5"/>
    <w:rsid w:val="00D333B0"/>
    <w:rsid w:val="00D334D4"/>
    <w:rsid w:val="00D37A04"/>
    <w:rsid w:val="00D41366"/>
    <w:rsid w:val="00D423AF"/>
    <w:rsid w:val="00D434FD"/>
    <w:rsid w:val="00D43EB7"/>
    <w:rsid w:val="00D472EE"/>
    <w:rsid w:val="00D47314"/>
    <w:rsid w:val="00D50211"/>
    <w:rsid w:val="00D520FB"/>
    <w:rsid w:val="00D53796"/>
    <w:rsid w:val="00D56405"/>
    <w:rsid w:val="00D566A3"/>
    <w:rsid w:val="00D57D6A"/>
    <w:rsid w:val="00D60DD4"/>
    <w:rsid w:val="00D610BE"/>
    <w:rsid w:val="00D61654"/>
    <w:rsid w:val="00D61CD7"/>
    <w:rsid w:val="00D626D3"/>
    <w:rsid w:val="00D63DDB"/>
    <w:rsid w:val="00D661A0"/>
    <w:rsid w:val="00D670F2"/>
    <w:rsid w:val="00D67BE9"/>
    <w:rsid w:val="00D71B31"/>
    <w:rsid w:val="00D72576"/>
    <w:rsid w:val="00D728CB"/>
    <w:rsid w:val="00D73DE6"/>
    <w:rsid w:val="00D74002"/>
    <w:rsid w:val="00D741E2"/>
    <w:rsid w:val="00D74B8A"/>
    <w:rsid w:val="00D772B9"/>
    <w:rsid w:val="00D81F64"/>
    <w:rsid w:val="00D82A01"/>
    <w:rsid w:val="00D8367F"/>
    <w:rsid w:val="00D84532"/>
    <w:rsid w:val="00D84AB9"/>
    <w:rsid w:val="00D857EB"/>
    <w:rsid w:val="00D86DF0"/>
    <w:rsid w:val="00D8745C"/>
    <w:rsid w:val="00D9167F"/>
    <w:rsid w:val="00D92103"/>
    <w:rsid w:val="00D930A3"/>
    <w:rsid w:val="00D94230"/>
    <w:rsid w:val="00D954CA"/>
    <w:rsid w:val="00D95CEE"/>
    <w:rsid w:val="00DA04D2"/>
    <w:rsid w:val="00DA220B"/>
    <w:rsid w:val="00DA6F4F"/>
    <w:rsid w:val="00DB0F27"/>
    <w:rsid w:val="00DB46A4"/>
    <w:rsid w:val="00DB59A7"/>
    <w:rsid w:val="00DB5F21"/>
    <w:rsid w:val="00DB6372"/>
    <w:rsid w:val="00DC0124"/>
    <w:rsid w:val="00DC08D8"/>
    <w:rsid w:val="00DC10AE"/>
    <w:rsid w:val="00DC3324"/>
    <w:rsid w:val="00DC344D"/>
    <w:rsid w:val="00DC5D16"/>
    <w:rsid w:val="00DC7C45"/>
    <w:rsid w:val="00DD0978"/>
    <w:rsid w:val="00DD1314"/>
    <w:rsid w:val="00DD4442"/>
    <w:rsid w:val="00DD717C"/>
    <w:rsid w:val="00DE20D1"/>
    <w:rsid w:val="00DE219C"/>
    <w:rsid w:val="00DE332E"/>
    <w:rsid w:val="00DE3795"/>
    <w:rsid w:val="00DE3C45"/>
    <w:rsid w:val="00DE4BAA"/>
    <w:rsid w:val="00DE4BDB"/>
    <w:rsid w:val="00DE6295"/>
    <w:rsid w:val="00DE7387"/>
    <w:rsid w:val="00DE7581"/>
    <w:rsid w:val="00DF205E"/>
    <w:rsid w:val="00DF26DB"/>
    <w:rsid w:val="00DF330E"/>
    <w:rsid w:val="00DF4A1A"/>
    <w:rsid w:val="00DF5AA1"/>
    <w:rsid w:val="00DF6518"/>
    <w:rsid w:val="00DF69F8"/>
    <w:rsid w:val="00DF7A86"/>
    <w:rsid w:val="00E01EFF"/>
    <w:rsid w:val="00E03158"/>
    <w:rsid w:val="00E04594"/>
    <w:rsid w:val="00E052C2"/>
    <w:rsid w:val="00E06F17"/>
    <w:rsid w:val="00E07600"/>
    <w:rsid w:val="00E07777"/>
    <w:rsid w:val="00E1573D"/>
    <w:rsid w:val="00E15FE1"/>
    <w:rsid w:val="00E167B6"/>
    <w:rsid w:val="00E16F22"/>
    <w:rsid w:val="00E21B4D"/>
    <w:rsid w:val="00E224A4"/>
    <w:rsid w:val="00E22EBB"/>
    <w:rsid w:val="00E2321C"/>
    <w:rsid w:val="00E23DCB"/>
    <w:rsid w:val="00E25ACD"/>
    <w:rsid w:val="00E26B17"/>
    <w:rsid w:val="00E27C7E"/>
    <w:rsid w:val="00E31C8C"/>
    <w:rsid w:val="00E33187"/>
    <w:rsid w:val="00E3362E"/>
    <w:rsid w:val="00E3421D"/>
    <w:rsid w:val="00E351D9"/>
    <w:rsid w:val="00E401CF"/>
    <w:rsid w:val="00E41451"/>
    <w:rsid w:val="00E41F6E"/>
    <w:rsid w:val="00E42D27"/>
    <w:rsid w:val="00E45E11"/>
    <w:rsid w:val="00E46ACE"/>
    <w:rsid w:val="00E46B7A"/>
    <w:rsid w:val="00E46E96"/>
    <w:rsid w:val="00E5070C"/>
    <w:rsid w:val="00E52225"/>
    <w:rsid w:val="00E539CE"/>
    <w:rsid w:val="00E539D9"/>
    <w:rsid w:val="00E5427B"/>
    <w:rsid w:val="00E55462"/>
    <w:rsid w:val="00E56E12"/>
    <w:rsid w:val="00E63391"/>
    <w:rsid w:val="00E63678"/>
    <w:rsid w:val="00E6521A"/>
    <w:rsid w:val="00E661E1"/>
    <w:rsid w:val="00E664C9"/>
    <w:rsid w:val="00E66B24"/>
    <w:rsid w:val="00E67EF7"/>
    <w:rsid w:val="00E70EC4"/>
    <w:rsid w:val="00E72D71"/>
    <w:rsid w:val="00E7347B"/>
    <w:rsid w:val="00E73E0C"/>
    <w:rsid w:val="00E75550"/>
    <w:rsid w:val="00E771ED"/>
    <w:rsid w:val="00E81AC1"/>
    <w:rsid w:val="00E836D8"/>
    <w:rsid w:val="00E8394B"/>
    <w:rsid w:val="00E86A9F"/>
    <w:rsid w:val="00E92452"/>
    <w:rsid w:val="00E96A1D"/>
    <w:rsid w:val="00E97C2B"/>
    <w:rsid w:val="00EA00A8"/>
    <w:rsid w:val="00EA0842"/>
    <w:rsid w:val="00EA0F40"/>
    <w:rsid w:val="00EA1C06"/>
    <w:rsid w:val="00EA32A2"/>
    <w:rsid w:val="00EA4005"/>
    <w:rsid w:val="00EA409E"/>
    <w:rsid w:val="00EA439B"/>
    <w:rsid w:val="00EA478F"/>
    <w:rsid w:val="00EA4DFB"/>
    <w:rsid w:val="00EA599D"/>
    <w:rsid w:val="00EA7760"/>
    <w:rsid w:val="00EB145B"/>
    <w:rsid w:val="00EB398B"/>
    <w:rsid w:val="00EB4894"/>
    <w:rsid w:val="00EC10F2"/>
    <w:rsid w:val="00EC151D"/>
    <w:rsid w:val="00EC36EE"/>
    <w:rsid w:val="00EC3E7D"/>
    <w:rsid w:val="00EC5432"/>
    <w:rsid w:val="00EC6235"/>
    <w:rsid w:val="00EC6612"/>
    <w:rsid w:val="00EC7B3E"/>
    <w:rsid w:val="00ED35B2"/>
    <w:rsid w:val="00ED3C9F"/>
    <w:rsid w:val="00EE16AE"/>
    <w:rsid w:val="00EE28DE"/>
    <w:rsid w:val="00EE2B19"/>
    <w:rsid w:val="00EE34C8"/>
    <w:rsid w:val="00EE44C3"/>
    <w:rsid w:val="00EF1035"/>
    <w:rsid w:val="00EF2D24"/>
    <w:rsid w:val="00EF3412"/>
    <w:rsid w:val="00EF50E2"/>
    <w:rsid w:val="00EF5F8A"/>
    <w:rsid w:val="00EF66F4"/>
    <w:rsid w:val="00F020CB"/>
    <w:rsid w:val="00F02864"/>
    <w:rsid w:val="00F037EC"/>
    <w:rsid w:val="00F04A5C"/>
    <w:rsid w:val="00F05083"/>
    <w:rsid w:val="00F11C13"/>
    <w:rsid w:val="00F123C0"/>
    <w:rsid w:val="00F129E2"/>
    <w:rsid w:val="00F12B6D"/>
    <w:rsid w:val="00F1454B"/>
    <w:rsid w:val="00F2194C"/>
    <w:rsid w:val="00F235FF"/>
    <w:rsid w:val="00F23AEA"/>
    <w:rsid w:val="00F24D49"/>
    <w:rsid w:val="00F257D2"/>
    <w:rsid w:val="00F26930"/>
    <w:rsid w:val="00F26D5B"/>
    <w:rsid w:val="00F27774"/>
    <w:rsid w:val="00F27DB7"/>
    <w:rsid w:val="00F27EFB"/>
    <w:rsid w:val="00F30860"/>
    <w:rsid w:val="00F318E6"/>
    <w:rsid w:val="00F3219A"/>
    <w:rsid w:val="00F32DDD"/>
    <w:rsid w:val="00F342F8"/>
    <w:rsid w:val="00F3459D"/>
    <w:rsid w:val="00F346F1"/>
    <w:rsid w:val="00F34F62"/>
    <w:rsid w:val="00F4098F"/>
    <w:rsid w:val="00F40DB6"/>
    <w:rsid w:val="00F427DE"/>
    <w:rsid w:val="00F4362C"/>
    <w:rsid w:val="00F440F3"/>
    <w:rsid w:val="00F454CB"/>
    <w:rsid w:val="00F4774E"/>
    <w:rsid w:val="00F53FEB"/>
    <w:rsid w:val="00F540A1"/>
    <w:rsid w:val="00F54CC1"/>
    <w:rsid w:val="00F55868"/>
    <w:rsid w:val="00F57219"/>
    <w:rsid w:val="00F6033F"/>
    <w:rsid w:val="00F655D8"/>
    <w:rsid w:val="00F65966"/>
    <w:rsid w:val="00F66106"/>
    <w:rsid w:val="00F6621B"/>
    <w:rsid w:val="00F66578"/>
    <w:rsid w:val="00F676F6"/>
    <w:rsid w:val="00F67F5C"/>
    <w:rsid w:val="00F7408B"/>
    <w:rsid w:val="00F7425E"/>
    <w:rsid w:val="00F74415"/>
    <w:rsid w:val="00F74521"/>
    <w:rsid w:val="00F76A66"/>
    <w:rsid w:val="00F76ECA"/>
    <w:rsid w:val="00F77897"/>
    <w:rsid w:val="00F812B8"/>
    <w:rsid w:val="00F81432"/>
    <w:rsid w:val="00F82E6A"/>
    <w:rsid w:val="00F83CDC"/>
    <w:rsid w:val="00F84574"/>
    <w:rsid w:val="00F86FEE"/>
    <w:rsid w:val="00F903B1"/>
    <w:rsid w:val="00F90598"/>
    <w:rsid w:val="00F9152D"/>
    <w:rsid w:val="00F93F01"/>
    <w:rsid w:val="00F947E5"/>
    <w:rsid w:val="00F9562E"/>
    <w:rsid w:val="00F95AC8"/>
    <w:rsid w:val="00F97287"/>
    <w:rsid w:val="00F9736E"/>
    <w:rsid w:val="00F97DC7"/>
    <w:rsid w:val="00F97FF6"/>
    <w:rsid w:val="00FA0492"/>
    <w:rsid w:val="00FA04B0"/>
    <w:rsid w:val="00FA0A7A"/>
    <w:rsid w:val="00FA2131"/>
    <w:rsid w:val="00FA2E8B"/>
    <w:rsid w:val="00FA3530"/>
    <w:rsid w:val="00FA56A3"/>
    <w:rsid w:val="00FA5959"/>
    <w:rsid w:val="00FA7331"/>
    <w:rsid w:val="00FB0042"/>
    <w:rsid w:val="00FB092D"/>
    <w:rsid w:val="00FB4960"/>
    <w:rsid w:val="00FB63A4"/>
    <w:rsid w:val="00FB69BE"/>
    <w:rsid w:val="00FB702F"/>
    <w:rsid w:val="00FB7EF4"/>
    <w:rsid w:val="00FB7F6A"/>
    <w:rsid w:val="00FC07F9"/>
    <w:rsid w:val="00FC0BA2"/>
    <w:rsid w:val="00FC253C"/>
    <w:rsid w:val="00FC4EAF"/>
    <w:rsid w:val="00FC503A"/>
    <w:rsid w:val="00FC5392"/>
    <w:rsid w:val="00FD2372"/>
    <w:rsid w:val="00FD5EC9"/>
    <w:rsid w:val="00FE0543"/>
    <w:rsid w:val="00FE10B3"/>
    <w:rsid w:val="00FE150C"/>
    <w:rsid w:val="00FE2C75"/>
    <w:rsid w:val="00FE3BB3"/>
    <w:rsid w:val="00FE3D4B"/>
    <w:rsid w:val="00FE4A3F"/>
    <w:rsid w:val="00FE532C"/>
    <w:rsid w:val="00FE55A4"/>
    <w:rsid w:val="00FE6468"/>
    <w:rsid w:val="00FE6DDE"/>
    <w:rsid w:val="00FF10C2"/>
    <w:rsid w:val="00FF1A48"/>
    <w:rsid w:val="00FF3672"/>
    <w:rsid w:val="00FF3789"/>
    <w:rsid w:val="00FF3D47"/>
    <w:rsid w:val="00FF5B0E"/>
    <w:rsid w:val="00FF6094"/>
    <w:rsid w:val="00FF7B3C"/>
    <w:rsid w:val="1F3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19F2E"/>
  <w14:defaultImageDpi w14:val="0"/>
  <w15:docId w15:val="{556C28AD-4603-4758-BD9E-2B307AC0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66"/>
    <w:pPr>
      <w:spacing w:line="259" w:lineRule="auto"/>
      <w:jc w:val="both"/>
    </w:pPr>
    <w:rPr>
      <w:rFonts w:ascii="Garamond" w:hAnsi="Garamond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2EBB"/>
    <w:pPr>
      <w:spacing w:before="100" w:beforeAutospacing="1" w:after="100" w:afterAutospacing="1" w:line="240" w:lineRule="auto"/>
      <w:outlineLvl w:val="0"/>
    </w:pPr>
    <w:rPr>
      <w:b/>
      <w:bCs/>
      <w:kern w:val="36"/>
      <w:sz w:val="2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498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93C"/>
    <w:pPr>
      <w:keepNext/>
      <w:keepLines/>
      <w:spacing w:before="200" w:line="240" w:lineRule="auto"/>
      <w:outlineLvl w:val="2"/>
    </w:pPr>
    <w:rPr>
      <w:rFonts w:eastAsiaTheme="majorEastAsia" w:cstheme="majorBidi"/>
      <w:bCs/>
      <w:i/>
      <w:color w:val="4472C4" w:themeColor="accent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67F2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67F2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667F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66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667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C45D0"/>
    <w:pPr>
      <w:ind w:left="720"/>
      <w:contextualSpacing/>
    </w:pPr>
  </w:style>
  <w:style w:type="paragraph" w:styleId="NormalWeb">
    <w:name w:val="Normal (Web)"/>
    <w:basedOn w:val="Normal"/>
    <w:uiPriority w:val="99"/>
    <w:rsid w:val="007538A8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hu-HU" w:eastAsia="hu-HU"/>
    </w:rPr>
  </w:style>
  <w:style w:type="character" w:styleId="Emphasis">
    <w:name w:val="Emphasis"/>
    <w:basedOn w:val="DefaultParagraphFont"/>
    <w:uiPriority w:val="20"/>
    <w:qFormat/>
    <w:rsid w:val="00C52664"/>
    <w:rPr>
      <w:i/>
      <w:iCs/>
    </w:rPr>
  </w:style>
  <w:style w:type="character" w:customStyle="1" w:styleId="st">
    <w:name w:val="st"/>
    <w:basedOn w:val="DefaultParagraphFont"/>
    <w:rsid w:val="00C52664"/>
  </w:style>
  <w:style w:type="character" w:customStyle="1" w:styleId="acopre">
    <w:name w:val="acopre"/>
    <w:basedOn w:val="DefaultParagraphFont"/>
    <w:rsid w:val="00C52664"/>
  </w:style>
  <w:style w:type="character" w:styleId="Strong">
    <w:name w:val="Strong"/>
    <w:basedOn w:val="DefaultParagraphFont"/>
    <w:uiPriority w:val="22"/>
    <w:qFormat/>
    <w:rsid w:val="002E7EB3"/>
    <w:rPr>
      <w:b/>
      <w:bCs/>
    </w:rPr>
  </w:style>
  <w:style w:type="character" w:customStyle="1" w:styleId="outputecli">
    <w:name w:val="outputecli"/>
    <w:basedOn w:val="DefaultParagraphFont"/>
    <w:rsid w:val="00512F4E"/>
  </w:style>
  <w:style w:type="character" w:customStyle="1" w:styleId="outputecliaff">
    <w:name w:val="outputecliaff"/>
    <w:basedOn w:val="DefaultParagraphFont"/>
    <w:rsid w:val="00E539CE"/>
  </w:style>
  <w:style w:type="character" w:customStyle="1" w:styleId="Heading1Char">
    <w:name w:val="Heading 1 Char"/>
    <w:basedOn w:val="DefaultParagraphFont"/>
    <w:link w:val="Heading1"/>
    <w:uiPriority w:val="9"/>
    <w:rsid w:val="00E22EBB"/>
    <w:rPr>
      <w:rFonts w:ascii="Garamond" w:hAnsi="Garamond"/>
      <w:b/>
      <w:bCs/>
      <w:kern w:val="36"/>
      <w:sz w:val="28"/>
      <w:szCs w:val="4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5C393C"/>
    <w:rPr>
      <w:rFonts w:ascii="Garamond" w:eastAsiaTheme="majorEastAsia" w:hAnsi="Garamond" w:cstheme="majorBidi"/>
      <w:bCs/>
      <w:i/>
      <w:color w:val="4472C4" w:themeColor="accent1"/>
      <w:sz w:val="24"/>
      <w:lang w:eastAsia="zh-CN"/>
    </w:rPr>
  </w:style>
  <w:style w:type="character" w:customStyle="1" w:styleId="hlfld-title">
    <w:name w:val="hlfld-title"/>
    <w:basedOn w:val="DefaultParagraphFont"/>
    <w:rsid w:val="006C09CB"/>
  </w:style>
  <w:style w:type="character" w:customStyle="1" w:styleId="singlehighlightclass">
    <w:name w:val="single_highlight_class"/>
    <w:basedOn w:val="DefaultParagraphFont"/>
    <w:rsid w:val="006C09CB"/>
  </w:style>
  <w:style w:type="character" w:customStyle="1" w:styleId="volume">
    <w:name w:val="volume"/>
    <w:basedOn w:val="DefaultParagraphFont"/>
    <w:rsid w:val="006C09CB"/>
  </w:style>
  <w:style w:type="character" w:customStyle="1" w:styleId="nlmarticle-title">
    <w:name w:val="nlm_article-title"/>
    <w:basedOn w:val="DefaultParagraphFont"/>
    <w:rsid w:val="006C09CB"/>
  </w:style>
  <w:style w:type="character" w:customStyle="1" w:styleId="filetitle">
    <w:name w:val="file__title"/>
    <w:basedOn w:val="DefaultParagraphFont"/>
    <w:rsid w:val="00E92452"/>
  </w:style>
  <w:style w:type="character" w:customStyle="1" w:styleId="cosearchdetaillevel1">
    <w:name w:val="co_search_detaillevel_1"/>
    <w:basedOn w:val="DefaultParagraphFont"/>
    <w:rsid w:val="00CD46F3"/>
  </w:style>
  <w:style w:type="character" w:customStyle="1" w:styleId="cosearchterm">
    <w:name w:val="co_searchterm"/>
    <w:basedOn w:val="DefaultParagraphFont"/>
    <w:rsid w:val="005E6D22"/>
  </w:style>
  <w:style w:type="paragraph" w:customStyle="1" w:styleId="codocumenticonpreviouslyviewed">
    <w:name w:val="co_document_icon_previouslyviewed"/>
    <w:basedOn w:val="Normal"/>
    <w:rsid w:val="00B42FB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3440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440"/>
    <w:rPr>
      <w:rFonts w:ascii="Garamond" w:eastAsiaTheme="majorEastAsia" w:hAnsi="Garamond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B6498"/>
    <w:rPr>
      <w:rFonts w:ascii="Garamond" w:eastAsiaTheme="majorEastAsia" w:hAnsi="Garamond" w:cstheme="majorBidi"/>
      <w:b/>
      <w:color w:val="2F5496" w:themeColor="accent1" w:themeShade="BF"/>
      <w:sz w:val="26"/>
      <w:szCs w:val="26"/>
    </w:rPr>
  </w:style>
  <w:style w:type="character" w:customStyle="1" w:styleId="cls-response">
    <w:name w:val="cls-response"/>
    <w:basedOn w:val="DefaultParagraphFont"/>
    <w:rsid w:val="00132F2A"/>
  </w:style>
  <w:style w:type="character" w:styleId="FollowedHyperlink">
    <w:name w:val="FollowedHyperlink"/>
    <w:basedOn w:val="DefaultParagraphFont"/>
    <w:uiPriority w:val="99"/>
    <w:semiHidden/>
    <w:unhideWhenUsed/>
    <w:rsid w:val="00590922"/>
    <w:rPr>
      <w:color w:val="954F72" w:themeColor="followedHyperlink"/>
      <w:u w:val="single"/>
    </w:rPr>
  </w:style>
  <w:style w:type="paragraph" w:customStyle="1" w:styleId="title-bold">
    <w:name w:val="title-bold"/>
    <w:basedOn w:val="Normal"/>
    <w:rsid w:val="00AB0B3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Date1">
    <w:name w:val="Date1"/>
    <w:basedOn w:val="DefaultParagraphFont"/>
    <w:rsid w:val="008D0E82"/>
  </w:style>
  <w:style w:type="character" w:customStyle="1" w:styleId="markedcontent">
    <w:name w:val="markedcontent"/>
    <w:basedOn w:val="DefaultParagraphFont"/>
    <w:rsid w:val="00660374"/>
  </w:style>
  <w:style w:type="character" w:customStyle="1" w:styleId="highlight">
    <w:name w:val="highlight"/>
    <w:basedOn w:val="DefaultParagraphFont"/>
    <w:rsid w:val="00DF69F8"/>
  </w:style>
  <w:style w:type="character" w:customStyle="1" w:styleId="sbc73225d">
    <w:name w:val="sbc73225d"/>
    <w:basedOn w:val="DefaultParagraphFont"/>
    <w:rsid w:val="003B148E"/>
  </w:style>
  <w:style w:type="character" w:styleId="CommentReference">
    <w:name w:val="annotation reference"/>
    <w:basedOn w:val="DefaultParagraphFont"/>
    <w:uiPriority w:val="99"/>
    <w:semiHidden/>
    <w:unhideWhenUsed/>
    <w:rsid w:val="009E1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DBE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DBE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eli/treaty/teu_2012/oj" TargetMode="External"/><Relationship Id="rId21" Type="http://schemas.openxmlformats.org/officeDocument/2006/relationships/hyperlink" Target="https://eur-lex.europa.eu/legal-content/EN/TXT/PDF/?uri=CELEX:12012E/TXT&amp;from=EN" TargetMode="External"/><Relationship Id="rId42" Type="http://schemas.openxmlformats.org/officeDocument/2006/relationships/hyperlink" Target="https://www.europarl.europa.eu/RegData/etudes/BRIE/2019/642282/EPRS_BRI(2019)642282_EN.pdf" TargetMode="External"/><Relationship Id="rId47" Type="http://schemas.openxmlformats.org/officeDocument/2006/relationships/hyperlink" Target="https://frontex.europa.eu/contact/lodge-a-complaint/" TargetMode="External"/><Relationship Id="rId63" Type="http://schemas.openxmlformats.org/officeDocument/2006/relationships/hyperlink" Target="https://www.ilga-europe.org/what-we-do/our-strategic-litigation-work" TargetMode="External"/><Relationship Id="rId68" Type="http://schemas.openxmlformats.org/officeDocument/2006/relationships/hyperlink" Target="https://ec.europa.eu/commission/presscorner/detail/en/STATEMENT_20_1748" TargetMode="External"/><Relationship Id="rId16" Type="http://schemas.openxmlformats.org/officeDocument/2006/relationships/hyperlink" Target="https://eulawlive.com/category/human-rights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elgaronline.com/display/edcoll/9781784712372/9781784712372.00026.xml" TargetMode="External"/><Relationship Id="rId32" Type="http://schemas.openxmlformats.org/officeDocument/2006/relationships/hyperlink" Target="https://eur-lex.europa.eu/eli/dec_impl/2023/165/oj" TargetMode="External"/><Relationship Id="rId37" Type="http://schemas.openxmlformats.org/officeDocument/2006/relationships/hyperlink" Target="https://commission.europa.eu/system/files/2022-12/1_1_201131_2022_charter_report_en.pdf" TargetMode="External"/><Relationship Id="rId40" Type="http://schemas.openxmlformats.org/officeDocument/2006/relationships/hyperlink" Target="https://eulawlive.com/insight-the-new-eu-global-human-rights-sanctions-regime-shortcomings-and-limitations-by-juan-jonas-de-gil/" TargetMode="External"/><Relationship Id="rId45" Type="http://schemas.openxmlformats.org/officeDocument/2006/relationships/hyperlink" Target="https://europeanlawblog.eu/2021/11/24/between-security-secrecy-and-scrutiny-enigmatic-external-activities-by-european-agencies-and-bodies-in-the-fight-against-crime/" TargetMode="External"/><Relationship Id="rId53" Type="http://schemas.openxmlformats.org/officeDocument/2006/relationships/hyperlink" Target="https://eulawlive.com/op-ed-berlaymont-is-back-the-commission-invokes-article-2-teu-as-self-standing-plea-in-infringement-proceedings-over-hungarian-lgbtiq-rights-violations-by-luke-dimitrios-spieker/" TargetMode="External"/><Relationship Id="rId58" Type="http://schemas.openxmlformats.org/officeDocument/2006/relationships/hyperlink" Target="https://www.cortecostituzionale.it/documenti/download/doc/recent_judgments/S_2018_115_EN.pdf" TargetMode="External"/><Relationship Id="rId66" Type="http://schemas.openxmlformats.org/officeDocument/2006/relationships/hyperlink" Target="https://eulawlive.com/op-ed-non-compliance-with-eu-law-as-a-violation-of-the-echr-the-broader-implications-of-spasov-v-romania-by-melanie-fink/" TargetMode="External"/><Relationship Id="rId74" Type="http://schemas.openxmlformats.org/officeDocument/2006/relationships/hyperlink" Target="https://eulawlive.com/fra-launches-human-rights-cities-in-the-eu-framework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youtube.com/watch?v=Bsm_vhEgKew" TargetMode="External"/><Relationship Id="rId19" Type="http://schemas.openxmlformats.org/officeDocument/2006/relationships/hyperlink" Target="https://zenodo.org/record/344805" TargetMode="External"/><Relationship Id="rId14" Type="http://schemas.openxmlformats.org/officeDocument/2006/relationships/hyperlink" Target="https://www.fao.org/3/i2195e/i2195e03.pdf" TargetMode="External"/><Relationship Id="rId22" Type="http://schemas.openxmlformats.org/officeDocument/2006/relationships/hyperlink" Target="https://eur-lex.europa.eu/resource.html?uri=cellar:2bf140bf-a3f8-4ab2-b506-fd71826e6da6.0023.02/DOC_1&amp;format=PDF" TargetMode="External"/><Relationship Id="rId27" Type="http://schemas.openxmlformats.org/officeDocument/2006/relationships/hyperlink" Target="https://eur-lex.europa.eu/eli/treaty/tfeu_2012/oj" TargetMode="External"/><Relationship Id="rId30" Type="http://schemas.openxmlformats.org/officeDocument/2006/relationships/hyperlink" Target="https://fra.europa.eu/sites/default/files/fra_uploads/fra-2020-fundamental-rights-report-2020-focus_en.pdf" TargetMode="External"/><Relationship Id="rId35" Type="http://schemas.openxmlformats.org/officeDocument/2006/relationships/hyperlink" Target="https://ec.europa.eu/info/sites/default/files/file_import/better-regulation-toolbox-28_en_0.pdf" TargetMode="External"/><Relationship Id="rId43" Type="http://schemas.openxmlformats.org/officeDocument/2006/relationships/hyperlink" Target="https://www.europarl.europa.eu/RegData/etudes/BRIE/2017/608628/EPRS_BRI(2017)608628_EN.pdf" TargetMode="External"/><Relationship Id="rId48" Type="http://schemas.openxmlformats.org/officeDocument/2006/relationships/hyperlink" Target="https://ec.europa.eu/info/sites/default/files/1_1_179442_ann_rep_en_0.pdf" TargetMode="External"/><Relationship Id="rId56" Type="http://schemas.openxmlformats.org/officeDocument/2006/relationships/hyperlink" Target="https://eulawlive.com/op-ed-constitutional-court-versus-eu-law-a-romanian-saga-the-judgment-in-case-c-430-21-rs-by-bianca-selejan-gutan/" TargetMode="External"/><Relationship Id="rId64" Type="http://schemas.openxmlformats.org/officeDocument/2006/relationships/hyperlink" Target="https://echr.coe.int/Pages/home.aspx?p=caselaw/otherpublications/handbooks&amp;c=" TargetMode="External"/><Relationship Id="rId69" Type="http://schemas.openxmlformats.org/officeDocument/2006/relationships/hyperlink" Target="https://hudoc.echr.coe.int/eng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eur-lex.europa.eu/legal-content/EN/TXT/?uri=CELEX%3A52020DC0711&amp;qid=1608047356199" TargetMode="External"/><Relationship Id="rId72" Type="http://schemas.openxmlformats.org/officeDocument/2006/relationships/hyperlink" Target="https://eulawlive.com/fras-last-quarterly-bulletin-of-2021-key-concerns-regarding-mistreatment-of-migrant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eulearning.ceu.edu/course/editsection.php?id=182243&amp;sr" TargetMode="External"/><Relationship Id="rId17" Type="http://schemas.openxmlformats.org/officeDocument/2006/relationships/hyperlink" Target="https://eur-lex.europa.eu/legal-content/EN/TXT/?uri=CELEX%3A52020DC0711&amp;qid=1608047356199" TargetMode="External"/><Relationship Id="rId25" Type="http://schemas.openxmlformats.org/officeDocument/2006/relationships/hyperlink" Target="https://fra.europa.eu/en/audio/2021/law-birds-eye-view%20%5bpodcast,%202021,%2015" TargetMode="External"/><Relationship Id="rId33" Type="http://schemas.openxmlformats.org/officeDocument/2006/relationships/hyperlink" Target="https://curia.europa.eu/juris/document/document.jsf?text=&amp;docid=251201&amp;pageIndex=0&amp;doclang=EN&amp;mode=lst&amp;dir=&amp;occ=first&amp;part=1&amp;cid=585021" TargetMode="External"/><Relationship Id="rId38" Type="http://schemas.openxmlformats.org/officeDocument/2006/relationships/hyperlink" Target="https://www.europarl.europa.eu/factsheets/en/sheet/165/human-rights" TargetMode="External"/><Relationship Id="rId46" Type="http://schemas.openxmlformats.org/officeDocument/2006/relationships/hyperlink" Target="https://www.ejiltalk.org/why-it-is-so-hard-to-hold-frontex-accountable-on-blame-shifting-and-an-outdated-remedies-system/" TargetMode="External"/><Relationship Id="rId59" Type="http://schemas.openxmlformats.org/officeDocument/2006/relationships/hyperlink" Target="https://www.conseil-etat.fr/en/content/download/159461/document/CP%20French%20Data%20Network%20%28ENG%29%20V3.pdf" TargetMode="External"/><Relationship Id="rId67" Type="http://schemas.openxmlformats.org/officeDocument/2006/relationships/hyperlink" Target="https://www.echr.coe.int/Documents/Speech_20180126_Lenaerts_JY_ENG.pdf" TargetMode="External"/><Relationship Id="rId20" Type="http://schemas.openxmlformats.org/officeDocument/2006/relationships/hyperlink" Target="https://www.fao.org/3/i2195e/i2195e03.pdf" TargetMode="External"/><Relationship Id="rId41" Type="http://schemas.openxmlformats.org/officeDocument/2006/relationships/hyperlink" Target="https://eulawlive.com/op-ed-hearing-in-venezuela-v-council-accommodating-new-sanction-litigation-by-third-states-by-olivier-baillet/" TargetMode="External"/><Relationship Id="rId54" Type="http://schemas.openxmlformats.org/officeDocument/2006/relationships/hyperlink" Target="https://fra.europa.eu/en/case-law-database" TargetMode="External"/><Relationship Id="rId62" Type="http://schemas.openxmlformats.org/officeDocument/2006/relationships/hyperlink" Target="https://www.europarl.europa.eu/RegData/etudes/STUD/2016/536488/IPOL_STU(2016)536488_EN.pdf" TargetMode="External"/><Relationship Id="rId70" Type="http://schemas.openxmlformats.org/officeDocument/2006/relationships/hyperlink" Target="https://hudoc.echr.coe.int/eng" TargetMode="External"/><Relationship Id="rId75" Type="http://schemas.openxmlformats.org/officeDocument/2006/relationships/hyperlink" Target="http://heinonlinebackup.com/hol-cgi-bin/get_pdf.cgi?handle=hein.journals/frdint27&amp;section=2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fra.europa.eu/en/promising-practices/thematic-policy-briefs" TargetMode="External"/><Relationship Id="rId23" Type="http://schemas.openxmlformats.org/officeDocument/2006/relationships/hyperlink" Target="https://ceulearning.ceu.edu/course/view.php?id=9168" TargetMode="External"/><Relationship Id="rId28" Type="http://schemas.openxmlformats.org/officeDocument/2006/relationships/hyperlink" Target="https://eur-lex.europa.eu/legal-content/EN/TXT/?uri=CELEX:12012P/TXT" TargetMode="External"/><Relationship Id="rId36" Type="http://schemas.openxmlformats.org/officeDocument/2006/relationships/hyperlink" Target="https://op.europa.eu/en/publication-detail/-/publication/784b02a4-a1f2-11e9-9d01-01aa75ed71a1/language-en" TargetMode="External"/><Relationship Id="rId49" Type="http://schemas.openxmlformats.org/officeDocument/2006/relationships/hyperlink" Target="https://curia.europa.eu/juris/liste.jsf?nat=or&amp;mat=or&amp;pcs=Oor&amp;jur=C%2CT%2CF&amp;num=T-798%252F22&amp;for=&amp;jge=&amp;dates=&amp;language=es&amp;pro=&amp;cit=none%252CC%252CCJ%252CR%252C2008E%252C%252C%252C%252C%252C%252C%252C%252C%252C%252Ctrue%252Cfalse%252Cfalse&amp;oqp=&amp;td=%3BALL&amp;avg=&amp;lg=&amp;page=1&amp;cid=1639767" TargetMode="External"/><Relationship Id="rId57" Type="http://schemas.openxmlformats.org/officeDocument/2006/relationships/hyperlink" Target="https://dx.doi.org/10.17176/20210426-101431-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europeanlawblog.eu/2020/12/07/the-charter-at-20-returning-to-its-origin-as-a-critical-juncture-for-fundamental-rights-protection-in-the-eu/" TargetMode="External"/><Relationship Id="rId44" Type="http://schemas.openxmlformats.org/officeDocument/2006/relationships/hyperlink" Target="https://eur-lex.europa.eu/legal-content/EN/TXT/?uri=CELEX%3A52020DC0711&amp;qid=1608047356199" TargetMode="External"/><Relationship Id="rId52" Type="http://schemas.openxmlformats.org/officeDocument/2006/relationships/hyperlink" Target="https://commission.europa.eu/system/files/2022-12/1_1_201131_2022_charter_report_en.pdf" TargetMode="External"/><Relationship Id="rId60" Type="http://schemas.openxmlformats.org/officeDocument/2006/relationships/hyperlink" Target="https://www.conseil-constitutionnel.fr/en/decision/2021/2021940QPC.htm" TargetMode="External"/><Relationship Id="rId65" Type="http://schemas.openxmlformats.org/officeDocument/2006/relationships/hyperlink" Target="https://fra.europa.eu/sites/default/files/fra_uploads/coe-fra-2021-effective-remedies-european-borders_en.pdf" TargetMode="External"/><Relationship Id="rId73" Type="http://schemas.openxmlformats.org/officeDocument/2006/relationships/hyperlink" Target="https://eulawlive.com/european-data-protection-supervisor-report-pegasus-spyware-raises-serious-data-privacy-and-protection-concerns/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enago.com/academy/top-6-tips-video-abstract-for-research-paper/" TargetMode="External"/><Relationship Id="rId18" Type="http://schemas.openxmlformats.org/officeDocument/2006/relationships/hyperlink" Target="https://lawschool.westlaw.com/marketing/display/SG/3" TargetMode="External"/><Relationship Id="rId39" Type="http://schemas.openxmlformats.org/officeDocument/2006/relationships/hyperlink" Target="https://www.consilium.europa.eu/en/press/press-releases/2023/02/20/iran-eu-imposes-further-restrictive-measures-against-32-individuals-and-two-entities-responsible-for-human-rights-violations/" TargetMode="External"/><Relationship Id="rId34" Type="http://schemas.openxmlformats.org/officeDocument/2006/relationships/hyperlink" Target="https://www.etui.org/sites/default/files/2020-09/The%20digital%20services%20act%20package.%20Reflections%20on%20the%20EU%20Commission%27s%20policy%20options-2-2020.pdf" TargetMode="External"/><Relationship Id="rId50" Type="http://schemas.openxmlformats.org/officeDocument/2006/relationships/hyperlink" Target="https://curia.europa.eu/juris/liste.jsf?nat=or&amp;mat=or&amp;pcs=Oor&amp;jur=C%2CT%2CF&amp;num=T-797%252F22&amp;for=&amp;jge=&amp;dates=&amp;language=es&amp;pro=&amp;cit=none%252CC%252CCJ%252CR%252C2008E%252C%252C%252C%252C%252C%252C%252C%252C%252C%252Ctrue%252Cfalse%252Cfalse&amp;oqp=&amp;td=%3BALL&amp;avg=&amp;lgrec=es&amp;lg=&amp;page=1&amp;cid=1639767" TargetMode="External"/><Relationship Id="rId55" Type="http://schemas.openxmlformats.org/officeDocument/2006/relationships/hyperlink" Target="https://fra.europa.eu/sites/default/files/fra_uploads/fra-2021-fundamental-rights-report-2021_en.pdf" TargetMode="External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www.ombudsman.europa.eu/en/doc/annual-report/en/156017FR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ra.europa.eu/en/databases/ef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C6231364C36449CE3189449B2CD00" ma:contentTypeVersion="8" ma:contentTypeDescription="Create a new document." ma:contentTypeScope="" ma:versionID="012cdac7d6dc8cd5636239636061cda9">
  <xsd:schema xmlns:xsd="http://www.w3.org/2001/XMLSchema" xmlns:xs="http://www.w3.org/2001/XMLSchema" xmlns:p="http://schemas.microsoft.com/office/2006/metadata/properties" xmlns:ns2="41af32aa-541e-4c6c-9cf1-b95a0caa62b7" xmlns:ns3="53cbf136-6621-4c09-822a-7b54e1f46e81" targetNamespace="http://schemas.microsoft.com/office/2006/metadata/properties" ma:root="true" ma:fieldsID="770217aa4728232b8970f09dd1b1494e" ns2:_="" ns3:_="">
    <xsd:import namespace="41af32aa-541e-4c6c-9cf1-b95a0caa62b7"/>
    <xsd:import namespace="53cbf136-6621-4c09-822a-7b54e1f46e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f32aa-541e-4c6c-9cf1-b95a0caa62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f136-6621-4c09-822a-7b54e1f46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66FBB-9E1A-48B9-B2A2-EE9320FF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f32aa-541e-4c6c-9cf1-b95a0caa62b7"/>
    <ds:schemaRef ds:uri="53cbf136-6621-4c09-822a-7b54e1f46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3D4E4-B4C7-4BDC-A822-72012D7E0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914CA-BB73-4768-8B95-F11C521E6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92A75-0FE0-4149-953D-48BAB3FD4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10132</Words>
  <Characters>57756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Sugo</dc:creator>
  <cp:keywords/>
  <dc:description/>
  <cp:lastModifiedBy>Marie-Pierre Granger</cp:lastModifiedBy>
  <cp:revision>10</cp:revision>
  <dcterms:created xsi:type="dcterms:W3CDTF">2023-03-22T12:36:00Z</dcterms:created>
  <dcterms:modified xsi:type="dcterms:W3CDTF">2023-08-21T17:34:00Z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0x0101002C3C6231364C36449CE3189449B2CD00</vt:lpwstr>
  </property>
</Properties>
</file>