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898A0" w14:textId="77777777" w:rsidR="00043638" w:rsidRDefault="008C1219" w:rsidP="00043638">
      <w:pPr>
        <w:jc w:val="both"/>
        <w:rPr>
          <w:b/>
          <w:lang w:val="en-US"/>
        </w:rPr>
      </w:pPr>
      <w:bookmarkStart w:id="0" w:name="_GoBack"/>
      <w:bookmarkEnd w:id="0"/>
      <w:r w:rsidRPr="00CD34EF">
        <w:rPr>
          <w:b/>
          <w:lang w:val="en-US"/>
        </w:rPr>
        <w:t>L</w:t>
      </w:r>
      <w:r w:rsidR="00043638">
        <w:rPr>
          <w:b/>
          <w:lang w:val="en-US"/>
        </w:rPr>
        <w:t xml:space="preserve">and and Ethnicity </w:t>
      </w:r>
    </w:p>
    <w:p w14:paraId="5B4F85D9" w14:textId="7D68BF87" w:rsidR="00013546" w:rsidRPr="00CD34EF" w:rsidRDefault="00013546" w:rsidP="00043638">
      <w:pPr>
        <w:jc w:val="both"/>
        <w:rPr>
          <w:b/>
          <w:lang w:val="en-US"/>
        </w:rPr>
      </w:pPr>
      <w:r w:rsidRPr="00CD34EF">
        <w:rPr>
          <w:b/>
          <w:lang w:val="en-US"/>
        </w:rPr>
        <w:t>András L. Pap</w:t>
      </w:r>
    </w:p>
    <w:p w14:paraId="14CEB239" w14:textId="77777777" w:rsidR="00013546" w:rsidRPr="00CD34EF" w:rsidRDefault="00013546" w:rsidP="008B37F8">
      <w:pPr>
        <w:keepLines/>
        <w:widowControl w:val="0"/>
        <w:pBdr>
          <w:bottom w:val="single" w:sz="4" w:space="1" w:color="auto"/>
        </w:pBdr>
        <w:jc w:val="both"/>
        <w:rPr>
          <w:b/>
          <w:lang w:val="en-US"/>
        </w:rPr>
      </w:pPr>
    </w:p>
    <w:p w14:paraId="5897E6C2" w14:textId="77777777" w:rsidR="00013546" w:rsidRPr="00CD34EF" w:rsidRDefault="00013546" w:rsidP="008B37F8">
      <w:pPr>
        <w:keepLines/>
        <w:widowControl w:val="0"/>
        <w:pBdr>
          <w:bottom w:val="single" w:sz="4" w:space="1" w:color="auto"/>
        </w:pBdr>
        <w:jc w:val="both"/>
        <w:rPr>
          <w:b/>
          <w:lang w:val="en-US"/>
        </w:rPr>
      </w:pPr>
    </w:p>
    <w:p w14:paraId="567C8734" w14:textId="77777777" w:rsidR="00013546" w:rsidRPr="00CD34EF" w:rsidRDefault="00013546" w:rsidP="008B37F8">
      <w:pPr>
        <w:jc w:val="both"/>
        <w:rPr>
          <w:lang w:val="en-US"/>
        </w:rPr>
      </w:pPr>
    </w:p>
    <w:p w14:paraId="025BB0DC" w14:textId="77777777" w:rsidR="00013546" w:rsidRPr="00CD34EF" w:rsidRDefault="00013546" w:rsidP="008B37F8">
      <w:pPr>
        <w:pStyle w:val="Szvegtrzsbehzssal"/>
        <w:ind w:left="0"/>
        <w:jc w:val="both"/>
        <w:rPr>
          <w:b/>
          <w:lang w:val="en-US"/>
        </w:rPr>
      </w:pPr>
      <w:r w:rsidRPr="00CD34EF">
        <w:rPr>
          <w:b/>
          <w:lang w:val="en-US"/>
        </w:rPr>
        <w:t>Course description</w:t>
      </w:r>
    </w:p>
    <w:p w14:paraId="129C88AB" w14:textId="77777777" w:rsidR="00013546" w:rsidRPr="00CD34EF" w:rsidRDefault="00013546" w:rsidP="008B37F8">
      <w:pPr>
        <w:jc w:val="both"/>
        <w:rPr>
          <w:lang w:val="en-US"/>
        </w:rPr>
      </w:pPr>
      <w:r w:rsidRPr="00CD34EF">
        <w:rPr>
          <w:lang w:val="en-US"/>
        </w:rPr>
        <w:t>The course is designed to provide a comprehensive overview of the major issues and questions within the purview of minority protection. Following a theoretical introduction and general discussions about the concept and evolution of minority rights and various rights-based approaches to recognizing minorities, such as individual rights, collective rights, self-determination, land-rights equality, discrimination and affirmative action, separate sessions are dedicated to the analysis of specific and specialized legal regimes and institutions. These include the assessment of indigenous rights, refugee protection as well as the scrutiny of legal and political dilemmas concerning hate speech, hate crimes, the legal conceptualization of minority identity and the processing of ethno-national data.</w:t>
      </w:r>
    </w:p>
    <w:p w14:paraId="1A33CA10" w14:textId="30436229" w:rsidR="00013546" w:rsidRPr="00CD34EF" w:rsidRDefault="00013546" w:rsidP="008B37F8">
      <w:pPr>
        <w:jc w:val="both"/>
        <w:rPr>
          <w:lang w:val="en-US"/>
        </w:rPr>
      </w:pPr>
      <w:r w:rsidRPr="00CD34EF">
        <w:rPr>
          <w:lang w:val="en-US"/>
        </w:rPr>
        <w:t xml:space="preserve">There will be weekly meetings in a seminar format. </w:t>
      </w:r>
    </w:p>
    <w:p w14:paraId="4FDB8C4C" w14:textId="77777777" w:rsidR="00013546" w:rsidRPr="00CD34EF" w:rsidRDefault="00013546" w:rsidP="008B37F8">
      <w:pPr>
        <w:jc w:val="both"/>
        <w:rPr>
          <w:lang w:val="en-US"/>
        </w:rPr>
      </w:pPr>
    </w:p>
    <w:p w14:paraId="34A21A33" w14:textId="77777777" w:rsidR="00013546" w:rsidRPr="00CD34EF" w:rsidRDefault="00013546" w:rsidP="008B37F8">
      <w:pPr>
        <w:pStyle w:val="Szvegtrzsbehzssal"/>
        <w:ind w:left="0"/>
        <w:jc w:val="both"/>
        <w:rPr>
          <w:b/>
          <w:lang w:val="en-US"/>
        </w:rPr>
      </w:pPr>
      <w:r w:rsidRPr="00CD34EF">
        <w:rPr>
          <w:b/>
          <w:lang w:val="en-US"/>
        </w:rPr>
        <w:t>Readings</w:t>
      </w:r>
    </w:p>
    <w:p w14:paraId="49D3E128" w14:textId="77777777" w:rsidR="00013546" w:rsidRPr="00CD34EF" w:rsidRDefault="00013546" w:rsidP="008B37F8">
      <w:pPr>
        <w:pStyle w:val="Szvegtrzsbehzssal"/>
        <w:ind w:left="0"/>
        <w:jc w:val="both"/>
        <w:rPr>
          <w:lang w:val="en-US"/>
        </w:rPr>
      </w:pPr>
      <w:r w:rsidRPr="00CD34EF">
        <w:rPr>
          <w:lang w:val="en-US"/>
        </w:rPr>
        <w:t xml:space="preserve">This interdisciplinary course is designed to engage and challenge students in critical debates. </w:t>
      </w:r>
      <w:bookmarkStart w:id="1" w:name="d.en.56816"/>
      <w:bookmarkEnd w:id="1"/>
      <w:r w:rsidRPr="00CD34EF">
        <w:rPr>
          <w:lang w:val="en-US"/>
        </w:rPr>
        <w:t>The subject combines several areas of legal studies—human rights, legal theory, theory of EU law, rights of ethnic minorities—with various fields within the social sciences. Besides reading excerpts from books and academic articles, students will also become familiar with a wide range of case law dealing with the topic. Each session is designed to combine academic articles and excerpts from books with legal texts or reports and policy recommendations by international organizations, and with the analysis of case law and jurisprudence. Students will not be given ready answers</w:t>
      </w:r>
      <w:r w:rsidRPr="00CD34EF">
        <w:rPr>
          <w:i/>
          <w:lang w:val="en-US"/>
        </w:rPr>
        <w:t xml:space="preserve"> </w:t>
      </w:r>
      <w:r w:rsidRPr="00CD34EF">
        <w:rPr>
          <w:lang w:val="en-US"/>
        </w:rPr>
        <w:t>at the outset; instead, they will be encouraged to take an active part in debating and understanding the analyzed issues.</w:t>
      </w:r>
    </w:p>
    <w:p w14:paraId="60719212" w14:textId="00136C66" w:rsidR="00013546" w:rsidRPr="00CD34EF" w:rsidRDefault="00013546" w:rsidP="008B37F8">
      <w:pPr>
        <w:jc w:val="both"/>
        <w:rPr>
          <w:lang w:val="en-US"/>
        </w:rPr>
      </w:pPr>
      <w:r w:rsidRPr="00CD34EF">
        <w:rPr>
          <w:lang w:val="en-US"/>
        </w:rPr>
        <w:t>For each class, the</w:t>
      </w:r>
      <w:r w:rsidR="00045FBF">
        <w:rPr>
          <w:lang w:val="en-US"/>
        </w:rPr>
        <w:t xml:space="preserve">re are </w:t>
      </w:r>
      <w:r w:rsidRPr="00CD34EF">
        <w:rPr>
          <w:lang w:val="en-US"/>
        </w:rPr>
        <w:t xml:space="preserve">mandatory readings. </w:t>
      </w:r>
      <w:r w:rsidR="00ED4839" w:rsidRPr="00CD34EF">
        <w:rPr>
          <w:lang w:val="en-US"/>
        </w:rPr>
        <w:t xml:space="preserve">Recommended materials are </w:t>
      </w:r>
      <w:r w:rsidR="000315EE" w:rsidRPr="00CD34EF">
        <w:rPr>
          <w:lang w:val="en-US"/>
        </w:rPr>
        <w:t xml:space="preserve">also </w:t>
      </w:r>
      <w:r w:rsidR="00045FBF">
        <w:rPr>
          <w:lang w:val="en-US"/>
        </w:rPr>
        <w:t xml:space="preserve">made </w:t>
      </w:r>
      <w:r w:rsidR="00ED4839" w:rsidRPr="00CD34EF">
        <w:rPr>
          <w:lang w:val="en-US"/>
        </w:rPr>
        <w:t>available</w:t>
      </w:r>
      <w:r w:rsidR="00045FBF">
        <w:rPr>
          <w:lang w:val="en-US"/>
        </w:rPr>
        <w:t>,</w:t>
      </w:r>
      <w:r w:rsidR="00ED4839" w:rsidRPr="00CD34EF">
        <w:rPr>
          <w:lang w:val="en-US"/>
        </w:rPr>
        <w:t xml:space="preserve"> </w:t>
      </w:r>
      <w:r w:rsidR="00045FBF">
        <w:rPr>
          <w:lang w:val="en-US"/>
        </w:rPr>
        <w:t xml:space="preserve">and </w:t>
      </w:r>
      <w:r w:rsidR="005A798B" w:rsidRPr="00CD34EF">
        <w:rPr>
          <w:lang w:val="en-US"/>
        </w:rPr>
        <w:t>are</w:t>
      </w:r>
      <w:r w:rsidR="0076552D" w:rsidRPr="00CD34EF">
        <w:rPr>
          <w:lang w:val="en-US"/>
        </w:rPr>
        <w:t xml:space="preserve"> </w:t>
      </w:r>
      <w:r w:rsidR="00017DDF" w:rsidRPr="00CD34EF">
        <w:rPr>
          <w:lang w:val="en-US"/>
        </w:rPr>
        <w:t xml:space="preserve">either directly </w:t>
      </w:r>
      <w:r w:rsidRPr="00CD34EF">
        <w:rPr>
          <w:lang w:val="en-US"/>
        </w:rPr>
        <w:t xml:space="preserve">assigned to </w:t>
      </w:r>
      <w:r w:rsidR="00017DDF" w:rsidRPr="00CD34EF">
        <w:rPr>
          <w:lang w:val="en-US"/>
        </w:rPr>
        <w:t xml:space="preserve">students for presentation, or provide background information for complex issues which </w:t>
      </w:r>
      <w:r w:rsidRPr="00CD34EF">
        <w:rPr>
          <w:lang w:val="en-US"/>
        </w:rPr>
        <w:t>students</w:t>
      </w:r>
      <w:r w:rsidR="00017DDF" w:rsidRPr="00CD34EF">
        <w:rPr>
          <w:lang w:val="en-US"/>
        </w:rPr>
        <w:t xml:space="preserve"> need to present as a starting point for class discussions. All p</w:t>
      </w:r>
      <w:r w:rsidRPr="00CD34EF">
        <w:rPr>
          <w:lang w:val="en-US"/>
        </w:rPr>
        <w:t>resenters are expected to be familiar with the recommended readings</w:t>
      </w:r>
      <w:r w:rsidR="00017DDF" w:rsidRPr="00CD34EF">
        <w:rPr>
          <w:lang w:val="en-US"/>
        </w:rPr>
        <w:t xml:space="preserve"> and are required to prepare send notes to the entire group </w:t>
      </w:r>
      <w:r w:rsidR="00017DDF" w:rsidRPr="00E04FC7">
        <w:rPr>
          <w:lang w:val="en-US"/>
        </w:rPr>
        <w:t>by</w:t>
      </w:r>
      <w:r w:rsidR="00017DDF" w:rsidRPr="00E04FC7">
        <w:rPr>
          <w:u w:val="single"/>
          <w:lang w:val="en-US"/>
        </w:rPr>
        <w:t xml:space="preserve"> 13,00 on </w:t>
      </w:r>
      <w:r w:rsidR="00E04FC7" w:rsidRPr="00E04FC7">
        <w:rPr>
          <w:u w:val="single"/>
          <w:lang w:val="en-US"/>
        </w:rPr>
        <w:t>Tuesday</w:t>
      </w:r>
      <w:r w:rsidR="00017DDF" w:rsidRPr="00E04FC7">
        <w:rPr>
          <w:lang w:val="en-US"/>
        </w:rPr>
        <w:t>, the day before class</w:t>
      </w:r>
      <w:r w:rsidRPr="00E04FC7">
        <w:rPr>
          <w:lang w:val="en-US"/>
        </w:rPr>
        <w:t xml:space="preserve">. </w:t>
      </w:r>
      <w:r w:rsidR="00017DDF" w:rsidRPr="00E04FC7">
        <w:rPr>
          <w:lang w:val="en-US"/>
        </w:rPr>
        <w:t>Late notes and failure to show up or present at class</w:t>
      </w:r>
      <w:r w:rsidR="00017DDF" w:rsidRPr="00CD34EF">
        <w:rPr>
          <w:lang w:val="en-US"/>
        </w:rPr>
        <w:t xml:space="preserve"> without prior notice will be penalized.</w:t>
      </w:r>
    </w:p>
    <w:p w14:paraId="7FFDB4DF" w14:textId="77777777" w:rsidR="00412B4A" w:rsidRPr="00CD34EF" w:rsidRDefault="00412B4A" w:rsidP="008B37F8">
      <w:pPr>
        <w:jc w:val="both"/>
        <w:rPr>
          <w:color w:val="222222"/>
          <w:lang w:val="en-US"/>
        </w:rPr>
      </w:pPr>
      <w:r w:rsidRPr="00CD34EF">
        <w:rPr>
          <w:color w:val="222222"/>
          <w:lang w:val="en-US"/>
        </w:rPr>
        <w:t>Given the highly intensive cooperation of students the course builds on, missing classes for students who have assignments or presentations is only acceptable for medical reasons, and a doctor’s note will be required. In such cases, if absent students were to present court cases, the relevant notes need to be sent before class or other forms of subsidiary arrangements need to me made, such as for example the swapping assignments with colleagues.</w:t>
      </w:r>
    </w:p>
    <w:p w14:paraId="4310C446" w14:textId="77777777" w:rsidR="00412B4A" w:rsidRPr="00CD34EF" w:rsidRDefault="00412B4A" w:rsidP="008B37F8">
      <w:pPr>
        <w:jc w:val="both"/>
        <w:rPr>
          <w:color w:val="222222"/>
          <w:lang w:val="en-US"/>
        </w:rPr>
      </w:pPr>
      <w:r w:rsidRPr="00CD34EF">
        <w:rPr>
          <w:color w:val="222222"/>
          <w:lang w:val="en-US"/>
        </w:rPr>
        <w:t xml:space="preserve">Class attendance, presentations and the timely delivery of assignments will be continuously monitored. </w:t>
      </w:r>
    </w:p>
    <w:p w14:paraId="7546959B" w14:textId="5F78FA64" w:rsidR="00412B4A" w:rsidRDefault="00412B4A" w:rsidP="008B37F8">
      <w:pPr>
        <w:jc w:val="both"/>
        <w:rPr>
          <w:color w:val="222222"/>
          <w:lang w:val="en-US"/>
        </w:rPr>
      </w:pPr>
      <w:r w:rsidRPr="00CD34EF">
        <w:rPr>
          <w:color w:val="222222"/>
          <w:lang w:val="en-US"/>
        </w:rPr>
        <w:t xml:space="preserve">Given the fact that the seminar builds on rigorous debates and critical assessment of the readings, it may happen that the assessment of certain topics transgresses classes and the discussion of some issues is moved to the next class. This is due to the nature of the course. Should some readings end up not being discussed by the end of the course, the students responsible for those presentations will not be penalized for this. </w:t>
      </w:r>
    </w:p>
    <w:p w14:paraId="6736B51A" w14:textId="5F86F05E" w:rsidR="00E04FC7" w:rsidRPr="00225C67" w:rsidRDefault="00E04FC7" w:rsidP="00E04FC7">
      <w:pPr>
        <w:shd w:val="clear" w:color="auto" w:fill="FFFFFF"/>
        <w:jc w:val="both"/>
        <w:textAlignment w:val="baseline"/>
        <w:rPr>
          <w:rFonts w:ascii="Segoe UI" w:hAnsi="Segoe UI" w:cs="Segoe UI"/>
          <w:color w:val="000000"/>
          <w:sz w:val="18"/>
          <w:szCs w:val="18"/>
          <w:lang w:val="en-US"/>
        </w:rPr>
      </w:pPr>
      <w:r w:rsidRPr="00225C67">
        <w:rPr>
          <w:color w:val="000000"/>
          <w:lang w:val="en-US"/>
        </w:rPr>
        <w:t xml:space="preserve">Most readings are available </w:t>
      </w:r>
      <w:r w:rsidR="009F0891">
        <w:rPr>
          <w:color w:val="000000"/>
          <w:lang w:val="en-US"/>
        </w:rPr>
        <w:t xml:space="preserve">in the syllabus (via </w:t>
      </w:r>
      <w:r w:rsidRPr="00225C67">
        <w:rPr>
          <w:color w:val="000000"/>
          <w:lang w:val="en-US"/>
        </w:rPr>
        <w:t>weblink</w:t>
      </w:r>
      <w:r w:rsidR="009F0891">
        <w:rPr>
          <w:color w:val="000000"/>
          <w:lang w:val="en-US"/>
        </w:rPr>
        <w:t>)</w:t>
      </w:r>
      <w:r w:rsidRPr="00225C67">
        <w:rPr>
          <w:color w:val="000000"/>
          <w:lang w:val="en-US"/>
        </w:rPr>
        <w:t xml:space="preserve">, the remaining </w:t>
      </w:r>
      <w:r w:rsidR="009F0891">
        <w:rPr>
          <w:color w:val="000000"/>
          <w:lang w:val="en-US"/>
        </w:rPr>
        <w:t xml:space="preserve">will be mailed. </w:t>
      </w:r>
      <w:r w:rsidRPr="00225C67">
        <w:rPr>
          <w:color w:val="000000"/>
          <w:lang w:val="en-US"/>
        </w:rPr>
        <w:t>(In case you face difficulties accessing the readings, please indicate at papa@ceu.edu.) </w:t>
      </w:r>
    </w:p>
    <w:p w14:paraId="3F2AC790" w14:textId="2488EDCD" w:rsidR="00364B60" w:rsidRDefault="00364B60">
      <w:pPr>
        <w:rPr>
          <w:color w:val="222222"/>
          <w:lang w:val="en-US"/>
        </w:rPr>
      </w:pPr>
      <w:r>
        <w:rPr>
          <w:color w:val="222222"/>
          <w:lang w:val="en-US"/>
        </w:rPr>
        <w:br w:type="page"/>
      </w:r>
    </w:p>
    <w:p w14:paraId="34178E17" w14:textId="77777777" w:rsidR="00E04FC7" w:rsidRPr="00225C67" w:rsidRDefault="00E04FC7" w:rsidP="008B37F8">
      <w:pPr>
        <w:jc w:val="both"/>
        <w:rPr>
          <w:color w:val="222222"/>
          <w:lang w:val="en-US"/>
        </w:rPr>
      </w:pPr>
    </w:p>
    <w:p w14:paraId="3279EBF6" w14:textId="77777777" w:rsidR="00013546" w:rsidRPr="00CD34EF" w:rsidRDefault="00013546" w:rsidP="008B37F8">
      <w:pPr>
        <w:pStyle w:val="Szvegtrzsbehzssal"/>
        <w:ind w:left="0"/>
        <w:jc w:val="both"/>
        <w:rPr>
          <w:b/>
          <w:lang w:val="en-US"/>
        </w:rPr>
      </w:pPr>
      <w:r w:rsidRPr="00CD34EF">
        <w:rPr>
          <w:b/>
          <w:lang w:val="en-US"/>
        </w:rPr>
        <w:t>Grading information</w:t>
      </w:r>
    </w:p>
    <w:p w14:paraId="0A5E17EF" w14:textId="77777777" w:rsidR="00013546" w:rsidRPr="00CD34EF" w:rsidRDefault="00013546" w:rsidP="008B37F8">
      <w:pPr>
        <w:tabs>
          <w:tab w:val="left" w:pos="8505"/>
        </w:tabs>
        <w:ind w:right="-7"/>
        <w:jc w:val="both"/>
        <w:rPr>
          <w:lang w:val="en-US"/>
        </w:rPr>
      </w:pPr>
      <w:r w:rsidRPr="00CD34EF">
        <w:rPr>
          <w:snapToGrid w:val="0"/>
          <w:lang w:val="en-US"/>
        </w:rPr>
        <w:t>Students are expected to attend all seminars, read all the required readings and prepare to be active in seminar discussions</w:t>
      </w:r>
      <w:r w:rsidR="007C5C2A" w:rsidRPr="00CD34EF">
        <w:rPr>
          <w:snapToGrid w:val="0"/>
          <w:lang w:val="en-US"/>
        </w:rPr>
        <w:t xml:space="preserve">. </w:t>
      </w:r>
      <w:r w:rsidRPr="00CD34EF">
        <w:rPr>
          <w:lang w:val="en-US"/>
        </w:rPr>
        <w:t xml:space="preserve">It is absolutely essential to read assigned materials prior to each session. </w:t>
      </w:r>
    </w:p>
    <w:p w14:paraId="56C8DDF3" w14:textId="77777777" w:rsidR="00013546" w:rsidRPr="00CD34EF" w:rsidRDefault="00013546" w:rsidP="008B37F8">
      <w:pPr>
        <w:jc w:val="both"/>
        <w:rPr>
          <w:lang w:val="en-US"/>
        </w:rPr>
      </w:pPr>
      <w:r w:rsidRPr="00CD34EF">
        <w:rPr>
          <w:lang w:val="en-US"/>
        </w:rPr>
        <w:t xml:space="preserve">In addition to this, students are required to </w:t>
      </w:r>
    </w:p>
    <w:p w14:paraId="6CB86A6A" w14:textId="59A0EE52" w:rsidR="001B6A88" w:rsidRPr="001B6A88" w:rsidRDefault="00013546" w:rsidP="001B6A88">
      <w:pPr>
        <w:pStyle w:val="Listaszerbekezds"/>
        <w:numPr>
          <w:ilvl w:val="0"/>
          <w:numId w:val="28"/>
        </w:numPr>
        <w:jc w:val="both"/>
        <w:rPr>
          <w:lang w:val="en-US"/>
        </w:rPr>
      </w:pPr>
      <w:r w:rsidRPr="001B6A88">
        <w:rPr>
          <w:lang w:val="en-US"/>
        </w:rPr>
        <w:t xml:space="preserve">give presentations </w:t>
      </w:r>
      <w:r w:rsidR="005A798B" w:rsidRPr="001B6A88">
        <w:rPr>
          <w:lang w:val="en-US"/>
        </w:rPr>
        <w:t xml:space="preserve">on the assigned mandatory and recommended </w:t>
      </w:r>
      <w:r w:rsidR="00ED4839" w:rsidRPr="001B6A88">
        <w:rPr>
          <w:lang w:val="en-US"/>
        </w:rPr>
        <w:t>readings</w:t>
      </w:r>
      <w:r w:rsidR="001B6A88">
        <w:rPr>
          <w:lang w:val="en-US"/>
        </w:rPr>
        <w:t xml:space="preserve"> in class</w:t>
      </w:r>
      <w:r w:rsidR="00ED4839" w:rsidRPr="001B6A88">
        <w:rPr>
          <w:lang w:val="en-US"/>
        </w:rPr>
        <w:t xml:space="preserve">, </w:t>
      </w:r>
    </w:p>
    <w:p w14:paraId="27CC808C" w14:textId="77777777" w:rsidR="00BD0924" w:rsidRDefault="00ED4839" w:rsidP="00BD0924">
      <w:pPr>
        <w:pStyle w:val="Listaszerbekezds"/>
        <w:numPr>
          <w:ilvl w:val="0"/>
          <w:numId w:val="28"/>
        </w:numPr>
        <w:jc w:val="both"/>
        <w:rPr>
          <w:lang w:val="en-US"/>
        </w:rPr>
      </w:pPr>
      <w:r w:rsidRPr="001B6A88">
        <w:rPr>
          <w:lang w:val="en-US"/>
        </w:rPr>
        <w:t xml:space="preserve">as well as </w:t>
      </w:r>
      <w:r w:rsidR="005B4E11" w:rsidRPr="001B6A88">
        <w:rPr>
          <w:lang w:val="en-US"/>
        </w:rPr>
        <w:t xml:space="preserve">on </w:t>
      </w:r>
      <w:r w:rsidR="001B6A88">
        <w:rPr>
          <w:lang w:val="en-US"/>
        </w:rPr>
        <w:t xml:space="preserve">a </w:t>
      </w:r>
      <w:r w:rsidR="00043638" w:rsidRPr="001B6A88">
        <w:rPr>
          <w:lang w:val="en-US"/>
        </w:rPr>
        <w:t xml:space="preserve">chosen case study </w:t>
      </w:r>
      <w:r w:rsidR="005B4E11" w:rsidRPr="001B6A88">
        <w:rPr>
          <w:lang w:val="en-US"/>
        </w:rPr>
        <w:t>on class</w:t>
      </w:r>
      <w:r w:rsidR="00043638" w:rsidRPr="001B6A88">
        <w:rPr>
          <w:lang w:val="en-US"/>
        </w:rPr>
        <w:t xml:space="preserve"> </w:t>
      </w:r>
      <w:r w:rsidR="00BD0924">
        <w:rPr>
          <w:lang w:val="en-US"/>
        </w:rPr>
        <w:t>10-11</w:t>
      </w:r>
      <w:r w:rsidR="001B6A88">
        <w:rPr>
          <w:lang w:val="en-US"/>
        </w:rPr>
        <w:t xml:space="preserve">, and </w:t>
      </w:r>
      <w:r w:rsidR="005B4E11" w:rsidRPr="001B6A88">
        <w:rPr>
          <w:lang w:val="en-US"/>
        </w:rPr>
        <w:t xml:space="preserve"> </w:t>
      </w:r>
    </w:p>
    <w:p w14:paraId="127191D3" w14:textId="14735690" w:rsidR="00BD0924" w:rsidRPr="00BD0924" w:rsidRDefault="001B6A88" w:rsidP="00BD0924">
      <w:pPr>
        <w:pStyle w:val="Listaszerbekezds"/>
        <w:numPr>
          <w:ilvl w:val="0"/>
          <w:numId w:val="28"/>
        </w:numPr>
        <w:jc w:val="both"/>
        <w:rPr>
          <w:lang w:val="en-US"/>
        </w:rPr>
      </w:pPr>
      <w:r w:rsidRPr="00BD0924">
        <w:rPr>
          <w:lang w:val="en-US"/>
        </w:rPr>
        <w:t xml:space="preserve">need to </w:t>
      </w:r>
      <w:r w:rsidR="00013546" w:rsidRPr="00BD0924">
        <w:rPr>
          <w:lang w:val="en-US"/>
        </w:rPr>
        <w:t xml:space="preserve">submit a final essay </w:t>
      </w:r>
      <w:r w:rsidR="00A844E8" w:rsidRPr="00BD0924">
        <w:rPr>
          <w:lang w:val="en-US"/>
        </w:rPr>
        <w:t xml:space="preserve">on a chosen case study or </w:t>
      </w:r>
      <w:r w:rsidR="00013546" w:rsidRPr="00BD0924">
        <w:rPr>
          <w:snapToGrid w:val="0"/>
          <w:lang w:val="en-US"/>
        </w:rPr>
        <w:t>incorporating and critically analyzing readings discussed during the course</w:t>
      </w:r>
      <w:r w:rsidR="007C5C2A" w:rsidRPr="00BD0924">
        <w:rPr>
          <w:snapToGrid w:val="0"/>
          <w:lang w:val="en-US"/>
        </w:rPr>
        <w:t>.</w:t>
      </w:r>
      <w:r w:rsidR="00013546" w:rsidRPr="00BD0924">
        <w:rPr>
          <w:lang w:val="en-US"/>
        </w:rPr>
        <w:t xml:space="preserve"> </w:t>
      </w:r>
      <w:r w:rsidR="005A798B" w:rsidRPr="00BD0924">
        <w:rPr>
          <w:lang w:val="en-US"/>
        </w:rPr>
        <w:t xml:space="preserve">The </w:t>
      </w:r>
      <w:r w:rsidR="00043638" w:rsidRPr="00BD0924">
        <w:rPr>
          <w:lang w:val="en-US"/>
        </w:rPr>
        <w:t>7</w:t>
      </w:r>
      <w:r w:rsidR="00043638" w:rsidRPr="00BD0924">
        <w:rPr>
          <w:vertAlign w:val="superscript"/>
          <w:lang w:val="en-US"/>
        </w:rPr>
        <w:t>th</w:t>
      </w:r>
      <w:r w:rsidR="005A798B" w:rsidRPr="00BD0924">
        <w:rPr>
          <w:lang w:val="en-US"/>
        </w:rPr>
        <w:t xml:space="preserve"> </w:t>
      </w:r>
      <w:r w:rsidRPr="00BD0924">
        <w:rPr>
          <w:lang w:val="en-US"/>
        </w:rPr>
        <w:t>and 8</w:t>
      </w:r>
      <w:r w:rsidRPr="00BD0924">
        <w:rPr>
          <w:vertAlign w:val="superscript"/>
          <w:lang w:val="en-US"/>
        </w:rPr>
        <w:t>th</w:t>
      </w:r>
      <w:r w:rsidRPr="00BD0924">
        <w:rPr>
          <w:lang w:val="en-US"/>
        </w:rPr>
        <w:t xml:space="preserve"> </w:t>
      </w:r>
      <w:r w:rsidR="005A798B" w:rsidRPr="00BD0924">
        <w:rPr>
          <w:lang w:val="en-US"/>
        </w:rPr>
        <w:t>class</w:t>
      </w:r>
      <w:r w:rsidR="00ED4839" w:rsidRPr="00BD0924">
        <w:rPr>
          <w:lang w:val="en-US"/>
        </w:rPr>
        <w:t xml:space="preserve"> is partially reserved for the discussion of the paper-proposals.</w:t>
      </w:r>
      <w:r w:rsidR="007C5C2A" w:rsidRPr="00BD0924">
        <w:rPr>
          <w:lang w:val="en-US"/>
        </w:rPr>
        <w:t xml:space="preserve"> </w:t>
      </w:r>
      <w:r w:rsidR="00BD0924" w:rsidRPr="00BD0924">
        <w:rPr>
          <w:lang w:val="en-US"/>
        </w:rPr>
        <w:t>Abstracts for the papers need to be submitted by the 9h class.</w:t>
      </w:r>
    </w:p>
    <w:p w14:paraId="63A71C87" w14:textId="77777777" w:rsidR="00013546" w:rsidRPr="00CD34EF" w:rsidRDefault="00013546" w:rsidP="008B37F8">
      <w:pPr>
        <w:jc w:val="both"/>
        <w:rPr>
          <w:lang w:val="en-US"/>
        </w:rPr>
      </w:pPr>
    </w:p>
    <w:p w14:paraId="4B28ACFF" w14:textId="77777777" w:rsidR="001B6A88" w:rsidRDefault="00013546" w:rsidP="001B6A88">
      <w:pPr>
        <w:numPr>
          <w:ilvl w:val="0"/>
          <w:numId w:val="12"/>
        </w:numPr>
        <w:jc w:val="both"/>
        <w:rPr>
          <w:lang w:val="en-US"/>
        </w:rPr>
      </w:pPr>
      <w:r w:rsidRPr="00CD34EF">
        <w:rPr>
          <w:lang w:val="en-US"/>
        </w:rPr>
        <w:t xml:space="preserve">Students will be asked to sign up for seminar </w:t>
      </w:r>
      <w:r w:rsidR="0076552D" w:rsidRPr="00CD34EF">
        <w:rPr>
          <w:lang w:val="en-US"/>
        </w:rPr>
        <w:t>presentations</w:t>
      </w:r>
      <w:r w:rsidRPr="00FB2088">
        <w:rPr>
          <w:lang w:val="en-US"/>
        </w:rPr>
        <w:t>.</w:t>
      </w:r>
      <w:r w:rsidRPr="00CD34EF">
        <w:rPr>
          <w:lang w:val="en-US"/>
        </w:rPr>
        <w:t xml:space="preserve"> </w:t>
      </w:r>
      <w:r w:rsidR="00ED4839" w:rsidRPr="00CD34EF">
        <w:rPr>
          <w:lang w:val="en-US"/>
        </w:rPr>
        <w:t xml:space="preserve">Choices will be discussed </w:t>
      </w:r>
      <w:r w:rsidR="0076552D" w:rsidRPr="00CD34EF">
        <w:rPr>
          <w:lang w:val="en-US"/>
        </w:rPr>
        <w:t>in class</w:t>
      </w:r>
      <w:r w:rsidR="00ED4839" w:rsidRPr="00CD34EF">
        <w:rPr>
          <w:lang w:val="en-US"/>
        </w:rPr>
        <w:t xml:space="preserve">. </w:t>
      </w:r>
      <w:r w:rsidRPr="00CD34EF">
        <w:rPr>
          <w:lang w:val="en-US"/>
        </w:rPr>
        <w:t xml:space="preserve">The presenters will be expected to sum up the main arguments of the </w:t>
      </w:r>
      <w:r w:rsidR="005A798B" w:rsidRPr="00CD34EF">
        <w:rPr>
          <w:lang w:val="en-US"/>
        </w:rPr>
        <w:t xml:space="preserve">mandatory and recommended readings </w:t>
      </w:r>
      <w:r w:rsidRPr="00CD34EF">
        <w:rPr>
          <w:lang w:val="en-US"/>
        </w:rPr>
        <w:t xml:space="preserve">and pose some key questions for class discussion. The presentation should be supported by an outline or a response paper of 1-3 pages which discusses some of the selected themes of the reading, to be submitted via </w:t>
      </w:r>
      <w:r w:rsidRPr="00E04FC7">
        <w:rPr>
          <w:lang w:val="en-US"/>
        </w:rPr>
        <w:t xml:space="preserve">e-mail by </w:t>
      </w:r>
      <w:r w:rsidR="00F0274D" w:rsidRPr="00E04FC7">
        <w:rPr>
          <w:lang w:val="en-US"/>
        </w:rPr>
        <w:t>13,00</w:t>
      </w:r>
      <w:r w:rsidRPr="00E04FC7">
        <w:rPr>
          <w:lang w:val="en-US"/>
        </w:rPr>
        <w:t xml:space="preserve"> the day prior to the class. </w:t>
      </w:r>
      <w:r w:rsidR="00652127" w:rsidRPr="00E04FC7">
        <w:rPr>
          <w:lang w:val="en-US"/>
        </w:rPr>
        <w:t>Unless otherwise indicated, p</w:t>
      </w:r>
      <w:r w:rsidR="007C5C2A" w:rsidRPr="00E04FC7">
        <w:rPr>
          <w:lang w:val="en-US"/>
        </w:rPr>
        <w:t>resentations should be reactions to the readings rather than summaries.</w:t>
      </w:r>
      <w:r w:rsidR="00E32126" w:rsidRPr="00E04FC7">
        <w:rPr>
          <w:lang w:val="en-US"/>
        </w:rPr>
        <w:t xml:space="preserve"> Case-presenters</w:t>
      </w:r>
      <w:r w:rsidR="00E32126" w:rsidRPr="00CD34EF">
        <w:rPr>
          <w:lang w:val="en-US"/>
        </w:rPr>
        <w:t xml:space="preserve"> need to prepare notes including references to the law and important/useful quotes. The notes need to be </w:t>
      </w:r>
      <w:r w:rsidR="00045FBF" w:rsidRPr="00045FBF">
        <w:rPr>
          <w:lang w:val="en-US"/>
        </w:rPr>
        <w:t>sent the class</w:t>
      </w:r>
      <w:r w:rsidR="00045FBF">
        <w:rPr>
          <w:lang w:val="en-US"/>
        </w:rPr>
        <w:t>.</w:t>
      </w:r>
    </w:p>
    <w:p w14:paraId="1C055633" w14:textId="16216A96" w:rsidR="001B6A88" w:rsidRDefault="001B6A88" w:rsidP="001B6A88">
      <w:pPr>
        <w:numPr>
          <w:ilvl w:val="0"/>
          <w:numId w:val="12"/>
        </w:numPr>
        <w:shd w:val="clear" w:color="auto" w:fill="FFFFFF"/>
        <w:jc w:val="both"/>
        <w:textAlignment w:val="baseline"/>
        <w:rPr>
          <w:rFonts w:ascii="Segoe UI" w:hAnsi="Segoe UI" w:cs="Segoe UI"/>
          <w:sz w:val="18"/>
          <w:szCs w:val="18"/>
          <w:lang w:val="en-US"/>
        </w:rPr>
      </w:pPr>
      <w:r w:rsidRPr="001B6A88">
        <w:rPr>
          <w:lang w:val="en-US"/>
        </w:rPr>
        <w:t xml:space="preserve">Students are also asked to make a presentation on class </w:t>
      </w:r>
      <w:r w:rsidR="00BD0924">
        <w:rPr>
          <w:lang w:val="en-US"/>
        </w:rPr>
        <w:t>10-11</w:t>
      </w:r>
      <w:r w:rsidRPr="001B6A88">
        <w:rPr>
          <w:lang w:val="en-US"/>
        </w:rPr>
        <w:t xml:space="preserve">. Choices will also be discussed in class. </w:t>
      </w:r>
      <w:r w:rsidR="00043638" w:rsidRPr="001B6A88">
        <w:rPr>
          <w:bCs/>
          <w:lang w:val="en-US"/>
        </w:rPr>
        <w:t>T</w:t>
      </w:r>
      <w:r w:rsidR="00BA168A" w:rsidRPr="001B6A88">
        <w:rPr>
          <w:bCs/>
          <w:lang w:val="en-US"/>
        </w:rPr>
        <w:t xml:space="preserve">he </w:t>
      </w:r>
      <w:r w:rsidR="00043638" w:rsidRPr="001B6A88">
        <w:rPr>
          <w:bCs/>
          <w:lang w:val="en-US"/>
        </w:rPr>
        <w:t>case presentation</w:t>
      </w:r>
      <w:r w:rsidR="00043638" w:rsidRPr="001B6A88">
        <w:rPr>
          <w:b/>
          <w:bCs/>
          <w:lang w:val="en-US"/>
        </w:rPr>
        <w:t xml:space="preserve"> </w:t>
      </w:r>
      <w:r w:rsidR="00BA168A" w:rsidRPr="001B6A88">
        <w:rPr>
          <w:lang w:val="en-US"/>
        </w:rPr>
        <w:t>should be 10</w:t>
      </w:r>
      <w:r w:rsidR="00043638" w:rsidRPr="001B6A88">
        <w:rPr>
          <w:lang w:val="en-US"/>
        </w:rPr>
        <w:t xml:space="preserve"> </w:t>
      </w:r>
      <w:r w:rsidR="00BA168A" w:rsidRPr="001B6A88">
        <w:rPr>
          <w:lang w:val="en-US"/>
        </w:rPr>
        <w:t>minutes (timing will be strictly monitored) a</w:t>
      </w:r>
      <w:r w:rsidRPr="001B6A88">
        <w:rPr>
          <w:lang w:val="en-US"/>
        </w:rPr>
        <w:t xml:space="preserve">nd be followed by a short Q&amp;A.  </w:t>
      </w:r>
      <w:r w:rsidR="00BA168A" w:rsidRPr="001B6A88">
        <w:rPr>
          <w:lang w:val="en-US"/>
        </w:rPr>
        <w:t>Presentations must be accompanied by a power point presentation (which needs to be 10 slides, excluding cover, references and end slide) </w:t>
      </w:r>
      <w:r w:rsidRPr="001B6A88">
        <w:rPr>
          <w:lang w:val="en-US"/>
        </w:rPr>
        <w:t xml:space="preserve"> </w:t>
      </w:r>
      <w:r w:rsidR="00BA168A" w:rsidRPr="001B6A88">
        <w:rPr>
          <w:lang w:val="en-US"/>
        </w:rPr>
        <w:t>In the presentation students should aim to cover the following things: Introduce the topic/case; summarize the main issue(s) (and how these link to the course); mention and define important concepts and theory; and critically reflect on the relevant empirical/theoretical class material </w:t>
      </w:r>
    </w:p>
    <w:p w14:paraId="238CE48A" w14:textId="568E16FA" w:rsidR="00364B60" w:rsidRPr="00364B60" w:rsidRDefault="00013546" w:rsidP="008B37F8">
      <w:pPr>
        <w:numPr>
          <w:ilvl w:val="0"/>
          <w:numId w:val="12"/>
        </w:numPr>
        <w:shd w:val="clear" w:color="auto" w:fill="FFFFFF"/>
        <w:jc w:val="both"/>
        <w:textAlignment w:val="baseline"/>
        <w:rPr>
          <w:rFonts w:ascii="Segoe UI" w:hAnsi="Segoe UI" w:cs="Segoe UI"/>
          <w:sz w:val="18"/>
          <w:szCs w:val="18"/>
          <w:lang w:val="en-US"/>
        </w:rPr>
      </w:pPr>
      <w:r w:rsidRPr="001B6A88">
        <w:rPr>
          <w:lang w:val="en-US"/>
        </w:rPr>
        <w:t xml:space="preserve">The term paper should be </w:t>
      </w:r>
      <w:r w:rsidR="00A844E8" w:rsidRPr="001B6A88">
        <w:rPr>
          <w:lang w:val="en-US"/>
        </w:rPr>
        <w:t xml:space="preserve">either </w:t>
      </w:r>
      <w:r w:rsidRPr="001B6A88">
        <w:rPr>
          <w:lang w:val="en-US"/>
        </w:rPr>
        <w:t>a</w:t>
      </w:r>
      <w:r w:rsidR="00A844E8" w:rsidRPr="001B6A88">
        <w:rPr>
          <w:lang w:val="en-US"/>
        </w:rPr>
        <w:t xml:space="preserve"> case study (similar to those presented on </w:t>
      </w:r>
      <w:r w:rsidR="00BD0924">
        <w:rPr>
          <w:lang w:val="en-US"/>
        </w:rPr>
        <w:t>class 10-11</w:t>
      </w:r>
      <w:r w:rsidR="00A844E8" w:rsidRPr="001B6A88">
        <w:rPr>
          <w:lang w:val="en-US"/>
        </w:rPr>
        <w:t>) or a</w:t>
      </w:r>
      <w:r w:rsidRPr="001B6A88">
        <w:rPr>
          <w:lang w:val="en-US"/>
        </w:rPr>
        <w:t xml:space="preserve">n original research paper that has at least </w:t>
      </w:r>
      <w:r w:rsidR="00A844E8" w:rsidRPr="001B6A88">
        <w:rPr>
          <w:lang w:val="en-US"/>
        </w:rPr>
        <w:t>1</w:t>
      </w:r>
      <w:r w:rsidR="00AA2EB6" w:rsidRPr="001B6A88">
        <w:rPr>
          <w:lang w:val="en-US"/>
        </w:rPr>
        <w:t xml:space="preserve">000 and no more than </w:t>
      </w:r>
      <w:r w:rsidR="00A844E8" w:rsidRPr="001B6A88">
        <w:rPr>
          <w:lang w:val="en-US"/>
        </w:rPr>
        <w:t>1</w:t>
      </w:r>
      <w:r w:rsidR="00AA2EB6" w:rsidRPr="001B6A88">
        <w:rPr>
          <w:lang w:val="en-US"/>
        </w:rPr>
        <w:t>5</w:t>
      </w:r>
      <w:r w:rsidRPr="001B6A88">
        <w:rPr>
          <w:lang w:val="en-US"/>
        </w:rPr>
        <w:t xml:space="preserve">00 words, double-spaced, with bibliography added. All students are expected to submit a project proposal at the </w:t>
      </w:r>
      <w:r w:rsidR="00953FBF">
        <w:rPr>
          <w:lang w:val="en-US"/>
        </w:rPr>
        <w:t>9</w:t>
      </w:r>
      <w:r w:rsidR="005A798B" w:rsidRPr="001B6A88">
        <w:rPr>
          <w:vertAlign w:val="superscript"/>
          <w:lang w:val="en-US"/>
        </w:rPr>
        <w:t>th</w:t>
      </w:r>
      <w:r w:rsidR="005A798B" w:rsidRPr="001B6A88">
        <w:rPr>
          <w:lang w:val="en-US"/>
        </w:rPr>
        <w:t xml:space="preserve"> </w:t>
      </w:r>
      <w:r w:rsidR="00653A4E" w:rsidRPr="001B6A88">
        <w:rPr>
          <w:lang w:val="en-US"/>
        </w:rPr>
        <w:t>class</w:t>
      </w:r>
      <w:r w:rsidRPr="001B6A88">
        <w:rPr>
          <w:lang w:val="en-US"/>
        </w:rPr>
        <w:t>. The proposal should</w:t>
      </w:r>
      <w:r w:rsidRPr="001B6A88">
        <w:rPr>
          <w:b/>
          <w:lang w:val="en-US"/>
        </w:rPr>
        <w:t xml:space="preserve"> </w:t>
      </w:r>
      <w:r w:rsidRPr="001B6A88">
        <w:rPr>
          <w:lang w:val="en-US"/>
        </w:rPr>
        <w:t xml:space="preserve">outline the main questions asked and be discussed with the instructor. The topic should relate to the broad themes of the course and class discussions. The paper should follow the genre of a scholarly essay either as a case study or as a literature review. </w:t>
      </w:r>
      <w:r w:rsidR="005A798B" w:rsidRPr="00BD0924">
        <w:rPr>
          <w:lang w:val="en-US"/>
        </w:rPr>
        <w:t xml:space="preserve">The </w:t>
      </w:r>
      <w:r w:rsidR="00364B60" w:rsidRPr="00BD0924">
        <w:rPr>
          <w:lang w:val="en-US"/>
        </w:rPr>
        <w:t>7</w:t>
      </w:r>
      <w:r w:rsidR="00364B60" w:rsidRPr="00BD0924">
        <w:rPr>
          <w:vertAlign w:val="superscript"/>
          <w:lang w:val="en-US"/>
        </w:rPr>
        <w:t>th</w:t>
      </w:r>
      <w:r w:rsidR="00364B60" w:rsidRPr="00BD0924">
        <w:rPr>
          <w:lang w:val="en-US"/>
        </w:rPr>
        <w:t xml:space="preserve"> and </w:t>
      </w:r>
      <w:r w:rsidR="00043638" w:rsidRPr="00BD0924">
        <w:rPr>
          <w:lang w:val="en-US"/>
        </w:rPr>
        <w:t>8</w:t>
      </w:r>
      <w:r w:rsidR="00364B60" w:rsidRPr="00BD0924">
        <w:rPr>
          <w:vertAlign w:val="superscript"/>
          <w:lang w:val="en-US"/>
        </w:rPr>
        <w:t>th</w:t>
      </w:r>
      <w:r w:rsidR="00364B60">
        <w:rPr>
          <w:lang w:val="en-US"/>
        </w:rPr>
        <w:t xml:space="preserve"> </w:t>
      </w:r>
      <w:r w:rsidR="005A798B" w:rsidRPr="001B6A88">
        <w:rPr>
          <w:lang w:val="en-US"/>
        </w:rPr>
        <w:t xml:space="preserve">class is partly dedicated for the discussion of the paper-projects. </w:t>
      </w:r>
      <w:r w:rsidRPr="001B6A88">
        <w:rPr>
          <w:lang w:val="en-US"/>
        </w:rPr>
        <w:t>Both the outline and final research paper are expected to be products of each student's individual effort. Evaluation will be based on the quality of research, its originality, quality of grammar, accuracy of spelling, and soundness of content. It constitutes plagiarism if a student quotes or adopts ideas from a source without appropriate attribution (for example, by failing to utilize endnotes or footnotes properly). Similarly, direct quotations must be attributed an</w:t>
      </w:r>
      <w:r w:rsidR="00364B60">
        <w:rPr>
          <w:lang w:val="en-US"/>
        </w:rPr>
        <w:t>d indicated by quotation marks.</w:t>
      </w:r>
    </w:p>
    <w:p w14:paraId="15B73431" w14:textId="77DAE4EA" w:rsidR="00013546" w:rsidRPr="00364B60" w:rsidRDefault="00013546" w:rsidP="00364B60">
      <w:pPr>
        <w:shd w:val="clear" w:color="auto" w:fill="FFFFFF"/>
        <w:jc w:val="both"/>
        <w:textAlignment w:val="baseline"/>
        <w:rPr>
          <w:rFonts w:ascii="Segoe UI" w:hAnsi="Segoe UI" w:cs="Segoe UI"/>
          <w:sz w:val="18"/>
          <w:szCs w:val="18"/>
          <w:lang w:val="en-US"/>
        </w:rPr>
      </w:pPr>
      <w:r w:rsidRPr="00364B60">
        <w:rPr>
          <w:spacing w:val="-4"/>
          <w:lang w:val="en-US"/>
        </w:rPr>
        <w:t>Please note that late papers submitted after the deadline will be marked down by half of a letter grade per day.</w:t>
      </w:r>
    </w:p>
    <w:p w14:paraId="12B87685" w14:textId="77777777" w:rsidR="00364B60" w:rsidRDefault="00364B60" w:rsidP="008B37F8">
      <w:pPr>
        <w:jc w:val="both"/>
        <w:rPr>
          <w:color w:val="222222"/>
          <w:shd w:val="clear" w:color="auto" w:fill="FFFFFF"/>
          <w:lang w:val="en-US"/>
        </w:rPr>
      </w:pPr>
    </w:p>
    <w:p w14:paraId="450E85A3" w14:textId="036BEDB6" w:rsidR="00364B60" w:rsidRDefault="003D13E3" w:rsidP="007C61DA">
      <w:pPr>
        <w:jc w:val="both"/>
        <w:rPr>
          <w:b/>
          <w:u w:val="single"/>
          <w:lang w:val="en-US"/>
        </w:rPr>
      </w:pPr>
      <w:r w:rsidRPr="00CD34EF">
        <w:rPr>
          <w:color w:val="222222"/>
          <w:shd w:val="clear" w:color="auto" w:fill="FFFFFF"/>
          <w:lang w:val="en-US"/>
        </w:rPr>
        <w:t>A group of students have an option to present a mock trial case instead of a final essay. The description of the case, plaintiff/defendant notes and the court’s judgment need to be submitted and presented by the last class. The written docum</w:t>
      </w:r>
      <w:r w:rsidR="008B37F8" w:rsidRPr="00CD34EF">
        <w:rPr>
          <w:color w:val="222222"/>
          <w:shd w:val="clear" w:color="auto" w:fill="FFFFFF"/>
          <w:lang w:val="en-US"/>
        </w:rPr>
        <w:t>entation needs to be at least 25</w:t>
      </w:r>
      <w:r w:rsidRPr="00CD34EF">
        <w:rPr>
          <w:color w:val="222222"/>
          <w:shd w:val="clear" w:color="auto" w:fill="FFFFFF"/>
          <w:lang w:val="en-US"/>
        </w:rPr>
        <w:t>00 words.</w:t>
      </w:r>
      <w:r w:rsidR="00364B60">
        <w:rPr>
          <w:b/>
          <w:u w:val="single"/>
          <w:lang w:val="en-US"/>
        </w:rPr>
        <w:br w:type="page"/>
      </w:r>
    </w:p>
    <w:p w14:paraId="056B4666" w14:textId="0ABB0DD6" w:rsidR="00A249AE" w:rsidRPr="00CD34EF" w:rsidRDefault="00A249AE" w:rsidP="00A249AE">
      <w:pPr>
        <w:jc w:val="both"/>
        <w:rPr>
          <w:b/>
          <w:u w:val="single"/>
          <w:lang w:val="en-US"/>
        </w:rPr>
      </w:pPr>
      <w:r w:rsidRPr="00CD34EF">
        <w:rPr>
          <w:b/>
          <w:u w:val="single"/>
          <w:lang w:val="en-US"/>
        </w:rPr>
        <w:lastRenderedPageBreak/>
        <w:t>Course evaluation:</w:t>
      </w:r>
    </w:p>
    <w:p w14:paraId="7F7874DE" w14:textId="6795379C" w:rsidR="00A249AE" w:rsidRPr="00C67007" w:rsidRDefault="00A249AE" w:rsidP="00A249AE">
      <w:pPr>
        <w:jc w:val="both"/>
        <w:rPr>
          <w:lang w:val="en-US"/>
        </w:rPr>
      </w:pPr>
      <w:r w:rsidRPr="00C67007">
        <w:rPr>
          <w:lang w:val="en-US"/>
        </w:rPr>
        <w:t>Class participation</w:t>
      </w:r>
      <w:r w:rsidR="00BA168A" w:rsidRPr="00C67007">
        <w:rPr>
          <w:lang w:val="en-US"/>
        </w:rPr>
        <w:t xml:space="preserve"> (including in-class presentations)</w:t>
      </w:r>
      <w:r w:rsidRPr="00C67007">
        <w:rPr>
          <w:lang w:val="en-US"/>
        </w:rPr>
        <w:t xml:space="preserve">: </w:t>
      </w:r>
      <w:r w:rsidRPr="00C67007">
        <w:rPr>
          <w:lang w:val="en-US"/>
        </w:rPr>
        <w:tab/>
      </w:r>
      <w:r w:rsidRPr="00C67007">
        <w:rPr>
          <w:lang w:val="en-US"/>
        </w:rPr>
        <w:tab/>
      </w:r>
      <w:r w:rsidR="00043638">
        <w:rPr>
          <w:lang w:val="en-US"/>
        </w:rPr>
        <w:t>5</w:t>
      </w:r>
      <w:r w:rsidRPr="00C67007">
        <w:rPr>
          <w:lang w:val="en-US"/>
        </w:rPr>
        <w:t>0%</w:t>
      </w:r>
    </w:p>
    <w:p w14:paraId="4B28633B" w14:textId="25998D44" w:rsidR="00A249AE" w:rsidRPr="00C67007" w:rsidRDefault="00A249AE" w:rsidP="00A249AE">
      <w:pPr>
        <w:jc w:val="both"/>
        <w:rPr>
          <w:lang w:val="en-US"/>
        </w:rPr>
      </w:pPr>
      <w:r w:rsidRPr="00C67007">
        <w:rPr>
          <w:lang w:val="en-US"/>
        </w:rPr>
        <w:t>Class presentation</w:t>
      </w:r>
      <w:r w:rsidR="00043638">
        <w:rPr>
          <w:lang w:val="en-US"/>
        </w:rPr>
        <w:t xml:space="preserve"> of a </w:t>
      </w:r>
      <w:r w:rsidR="00BA168A" w:rsidRPr="00C67007">
        <w:rPr>
          <w:lang w:val="en-US"/>
        </w:rPr>
        <w:t>national report</w:t>
      </w:r>
      <w:r w:rsidR="00C67007">
        <w:rPr>
          <w:lang w:val="en-US"/>
        </w:rPr>
        <w:t>/case stud</w:t>
      </w:r>
      <w:r w:rsidR="00043638">
        <w:rPr>
          <w:lang w:val="en-US"/>
        </w:rPr>
        <w:t>y</w:t>
      </w:r>
      <w:r w:rsidRPr="00C67007">
        <w:rPr>
          <w:lang w:val="en-US"/>
        </w:rPr>
        <w:t xml:space="preserve"> </w:t>
      </w:r>
      <w:r w:rsidR="00043638">
        <w:rPr>
          <w:lang w:val="en-US"/>
        </w:rPr>
        <w:tab/>
      </w:r>
      <w:r w:rsidR="00BA168A" w:rsidRPr="00C67007">
        <w:rPr>
          <w:lang w:val="en-US"/>
        </w:rPr>
        <w:tab/>
      </w:r>
      <w:r w:rsidRPr="00C67007">
        <w:rPr>
          <w:lang w:val="en-US"/>
        </w:rPr>
        <w:tab/>
      </w:r>
      <w:r w:rsidR="00043638">
        <w:rPr>
          <w:lang w:val="en-US"/>
        </w:rPr>
        <w:t>25</w:t>
      </w:r>
      <w:r w:rsidRPr="00C67007">
        <w:rPr>
          <w:lang w:val="en-US"/>
        </w:rPr>
        <w:t>%</w:t>
      </w:r>
    </w:p>
    <w:p w14:paraId="6773AE91" w14:textId="32186DBE" w:rsidR="00A249AE" w:rsidRPr="00CD34EF" w:rsidRDefault="00A249AE" w:rsidP="00A249AE">
      <w:pPr>
        <w:jc w:val="both"/>
        <w:rPr>
          <w:lang w:val="en-US"/>
        </w:rPr>
      </w:pPr>
      <w:r w:rsidRPr="00C67007">
        <w:rPr>
          <w:lang w:val="en-US"/>
        </w:rPr>
        <w:t xml:space="preserve">Final essay/mock case: </w:t>
      </w:r>
      <w:r w:rsidRPr="00C67007">
        <w:rPr>
          <w:lang w:val="en-US"/>
        </w:rPr>
        <w:tab/>
      </w:r>
      <w:r w:rsidR="00BA168A" w:rsidRPr="00C67007">
        <w:rPr>
          <w:lang w:val="en-US"/>
        </w:rPr>
        <w:tab/>
      </w:r>
      <w:r w:rsidR="00BA168A" w:rsidRPr="00C67007">
        <w:rPr>
          <w:lang w:val="en-US"/>
        </w:rPr>
        <w:tab/>
      </w:r>
      <w:r w:rsidR="00BA168A" w:rsidRPr="00C67007">
        <w:rPr>
          <w:lang w:val="en-US"/>
        </w:rPr>
        <w:tab/>
      </w:r>
      <w:r w:rsidRPr="00C67007">
        <w:rPr>
          <w:lang w:val="en-US"/>
        </w:rPr>
        <w:tab/>
      </w:r>
      <w:r w:rsidRPr="00C67007">
        <w:rPr>
          <w:lang w:val="en-US"/>
        </w:rPr>
        <w:tab/>
      </w:r>
      <w:r w:rsidR="00043638">
        <w:rPr>
          <w:lang w:val="en-US"/>
        </w:rPr>
        <w:t>25</w:t>
      </w:r>
      <w:r w:rsidRPr="00C67007">
        <w:rPr>
          <w:lang w:val="en-US"/>
        </w:rPr>
        <w:t>%</w:t>
      </w:r>
    </w:p>
    <w:p w14:paraId="5BFCCC3D" w14:textId="77777777" w:rsidR="00A249AE" w:rsidRPr="00CD34EF" w:rsidRDefault="00A249AE" w:rsidP="00A249AE">
      <w:pPr>
        <w:jc w:val="both"/>
        <w:rPr>
          <w:b/>
          <w:lang w:val="en-US"/>
        </w:rPr>
      </w:pPr>
    </w:p>
    <w:p w14:paraId="4F305D52" w14:textId="2AADF483" w:rsidR="00364B60" w:rsidRDefault="001952E4" w:rsidP="00364B60">
      <w:pPr>
        <w:jc w:val="both"/>
        <w:rPr>
          <w:lang w:val="en-US"/>
        </w:rPr>
      </w:pPr>
      <w:r w:rsidRPr="00BD0924">
        <w:rPr>
          <w:lang w:val="en-US"/>
        </w:rPr>
        <w:t>O</w:t>
      </w:r>
      <w:r w:rsidR="00FB2088" w:rsidRPr="00BD0924">
        <w:rPr>
          <w:lang w:val="en-US"/>
        </w:rPr>
        <w:t xml:space="preserve">n </w:t>
      </w:r>
      <w:r w:rsidR="00BD0924" w:rsidRPr="00BD0924">
        <w:rPr>
          <w:lang w:val="en-US"/>
        </w:rPr>
        <w:t>class 7</w:t>
      </w:r>
      <w:r w:rsidR="00FB2088" w:rsidRPr="00BD0924">
        <w:rPr>
          <w:lang w:val="en-US"/>
        </w:rPr>
        <w:t xml:space="preserve">, </w:t>
      </w:r>
      <w:r w:rsidR="00C67007" w:rsidRPr="00BD0924">
        <w:rPr>
          <w:lang w:val="en-US"/>
        </w:rPr>
        <w:t xml:space="preserve">general feedback will be provided and </w:t>
      </w:r>
      <w:r w:rsidR="00A249AE" w:rsidRPr="00BD0924">
        <w:rPr>
          <w:lang w:val="en-US"/>
        </w:rPr>
        <w:t xml:space="preserve">individual consultations </w:t>
      </w:r>
      <w:r w:rsidRPr="00BD0924">
        <w:rPr>
          <w:lang w:val="en-US"/>
        </w:rPr>
        <w:t>can</w:t>
      </w:r>
      <w:r w:rsidR="00A249AE" w:rsidRPr="00BD0924">
        <w:rPr>
          <w:lang w:val="en-US"/>
        </w:rPr>
        <w:t xml:space="preserve"> be held to</w:t>
      </w:r>
      <w:r w:rsidR="00A249AE" w:rsidRPr="00CD34EF">
        <w:rPr>
          <w:lang w:val="en-US"/>
        </w:rPr>
        <w:t xml:space="preserve"> discuss overall class performance and the quality of the presentations.</w:t>
      </w:r>
      <w:r w:rsidR="00364B60">
        <w:rPr>
          <w:lang w:val="en-US"/>
        </w:rPr>
        <w:t xml:space="preserve"> </w:t>
      </w:r>
    </w:p>
    <w:p w14:paraId="79433D54" w14:textId="77777777" w:rsidR="00364B60" w:rsidRDefault="00364B60" w:rsidP="00364B60">
      <w:pPr>
        <w:jc w:val="both"/>
        <w:rPr>
          <w:lang w:val="en-US"/>
        </w:rPr>
      </w:pPr>
    </w:p>
    <w:p w14:paraId="06FB84D8" w14:textId="4D921BD9" w:rsidR="00013546" w:rsidRPr="00CD34EF" w:rsidRDefault="00013546" w:rsidP="00364B60">
      <w:pPr>
        <w:jc w:val="both"/>
        <w:rPr>
          <w:b/>
          <w:u w:val="single"/>
          <w:lang w:val="en-US"/>
        </w:rPr>
      </w:pPr>
      <w:r w:rsidRPr="00CD34EF">
        <w:rPr>
          <w:b/>
          <w:u w:val="single"/>
          <w:lang w:val="en-US"/>
        </w:rPr>
        <w:t>COURSE DESIGN:</w:t>
      </w:r>
    </w:p>
    <w:p w14:paraId="5E2A2B44" w14:textId="77777777" w:rsidR="007C61DA" w:rsidRPr="0098277D" w:rsidRDefault="007C61DA" w:rsidP="007C61DA">
      <w:pPr>
        <w:rPr>
          <w:b/>
          <w:lang w:val="en-US"/>
        </w:rPr>
      </w:pPr>
      <w:r w:rsidRPr="00854DFF">
        <w:rPr>
          <w:b/>
        </w:rPr>
        <w:t xml:space="preserve">Class 1. September 20. </w:t>
      </w:r>
      <w:r w:rsidRPr="0098277D">
        <w:rPr>
          <w:b/>
          <w:lang w:val="en-US"/>
        </w:rPr>
        <w:t>Introduction. The concept of rights, human rights and minority rights</w:t>
      </w:r>
    </w:p>
    <w:p w14:paraId="12CAACEB" w14:textId="5CC92095" w:rsidR="007C61DA" w:rsidRPr="0098277D" w:rsidRDefault="007C61DA" w:rsidP="007C61DA">
      <w:pPr>
        <w:rPr>
          <w:b/>
          <w:lang w:val="en-US"/>
        </w:rPr>
      </w:pPr>
      <w:r w:rsidRPr="00854DFF">
        <w:rPr>
          <w:b/>
        </w:rPr>
        <w:t xml:space="preserve">Class 2. September 27. </w:t>
      </w:r>
      <w:r w:rsidRPr="0098277D">
        <w:rPr>
          <w:b/>
          <w:lang w:val="en-US"/>
        </w:rPr>
        <w:t>The concept of rights, human rights and minority rights</w:t>
      </w:r>
      <w:r w:rsidR="008B6FA5">
        <w:rPr>
          <w:b/>
          <w:lang w:val="en-US"/>
        </w:rPr>
        <w:t>: international documents</w:t>
      </w:r>
    </w:p>
    <w:p w14:paraId="71F0FAB1" w14:textId="77777777" w:rsidR="00997AAD" w:rsidRPr="00CD34EF" w:rsidRDefault="00997AAD" w:rsidP="00997AAD">
      <w:pPr>
        <w:rPr>
          <w:b/>
          <w:lang w:val="en-US"/>
        </w:rPr>
      </w:pPr>
      <w:r w:rsidRPr="00877C37">
        <w:rPr>
          <w:b/>
        </w:rPr>
        <w:t>Class 3. October 4</w:t>
      </w:r>
      <w:r>
        <w:rPr>
          <w:b/>
        </w:rPr>
        <w:t xml:space="preserve">. </w:t>
      </w:r>
      <w:r>
        <w:rPr>
          <w:b/>
          <w:lang w:val="en-US"/>
        </w:rPr>
        <w:t>International documents</w:t>
      </w:r>
      <w:r w:rsidRPr="00CD34EF">
        <w:rPr>
          <w:b/>
          <w:lang w:val="en-US"/>
        </w:rPr>
        <w:t xml:space="preserve"> continued</w:t>
      </w:r>
      <w:r>
        <w:rPr>
          <w:b/>
          <w:lang w:val="en-US"/>
        </w:rPr>
        <w:t>, c</w:t>
      </w:r>
      <w:r w:rsidRPr="00CD34EF">
        <w:rPr>
          <w:b/>
          <w:lang w:val="en-US"/>
        </w:rPr>
        <w:t>onflicts of individual and collective rights</w:t>
      </w:r>
      <w:r>
        <w:rPr>
          <w:b/>
          <w:lang w:val="en-US"/>
        </w:rPr>
        <w:t xml:space="preserve"> </w:t>
      </w:r>
    </w:p>
    <w:p w14:paraId="4E34E717" w14:textId="77777777" w:rsidR="007C61DA" w:rsidRPr="00EB0931" w:rsidRDefault="007C61DA" w:rsidP="007C61DA">
      <w:pPr>
        <w:rPr>
          <w:b/>
          <w:lang w:val="en-US"/>
        </w:rPr>
      </w:pPr>
      <w:r w:rsidRPr="00877C37">
        <w:rPr>
          <w:b/>
        </w:rPr>
        <w:t xml:space="preserve">Class 4. October 11. </w:t>
      </w:r>
      <w:r w:rsidRPr="00EB0931">
        <w:rPr>
          <w:b/>
          <w:lang w:val="en-US"/>
        </w:rPr>
        <w:t xml:space="preserve">Race, ethnicity, nationality, religion; identity and classification: Definition-making and data processing </w:t>
      </w:r>
    </w:p>
    <w:p w14:paraId="5E923C70" w14:textId="77777777" w:rsidR="007C61DA" w:rsidRPr="001848CE" w:rsidRDefault="007C61DA" w:rsidP="007C61DA">
      <w:pPr>
        <w:rPr>
          <w:b/>
          <w:lang w:val="en-US"/>
        </w:rPr>
      </w:pPr>
      <w:r w:rsidRPr="00BC0997">
        <w:rPr>
          <w:b/>
        </w:rPr>
        <w:t>Class 5. October 18</w:t>
      </w:r>
      <w:r>
        <w:rPr>
          <w:b/>
        </w:rPr>
        <w:t>.</w:t>
      </w:r>
      <w:r w:rsidRPr="00BC0997">
        <w:rPr>
          <w:b/>
        </w:rPr>
        <w:t xml:space="preserve"> </w:t>
      </w:r>
      <w:r w:rsidRPr="001848CE">
        <w:rPr>
          <w:b/>
          <w:lang w:val="en-US"/>
        </w:rPr>
        <w:t xml:space="preserve">Equality and discrimination: The morphology of discrimination, concepts and institutional responses.  </w:t>
      </w:r>
    </w:p>
    <w:p w14:paraId="2B2581C9" w14:textId="77777777" w:rsidR="007C61DA" w:rsidRPr="00043060" w:rsidRDefault="007C61DA" w:rsidP="007C61DA">
      <w:pPr>
        <w:rPr>
          <w:b/>
          <w:lang w:val="en-US"/>
        </w:rPr>
      </w:pPr>
      <w:r w:rsidRPr="00C81E7E">
        <w:rPr>
          <w:b/>
        </w:rPr>
        <w:t xml:space="preserve">Class 6. October 25.  </w:t>
      </w:r>
      <w:r w:rsidRPr="00043060">
        <w:rPr>
          <w:b/>
          <w:lang w:val="en-US"/>
        </w:rPr>
        <w:t>Equality and discrimination continued, reversed discrimination/affirmative</w:t>
      </w:r>
      <w:r>
        <w:rPr>
          <w:b/>
          <w:lang w:val="en-US"/>
        </w:rPr>
        <w:t xml:space="preserve">. </w:t>
      </w:r>
    </w:p>
    <w:p w14:paraId="58F0C17A" w14:textId="77777777" w:rsidR="007C61DA" w:rsidRPr="00AC22F9" w:rsidRDefault="007C61DA" w:rsidP="007C61DA">
      <w:pPr>
        <w:rPr>
          <w:b/>
          <w:color w:val="000000" w:themeColor="text1"/>
        </w:rPr>
      </w:pPr>
      <w:r w:rsidRPr="00AF2DA7">
        <w:rPr>
          <w:b/>
          <w:color w:val="000000" w:themeColor="text1"/>
        </w:rPr>
        <w:t xml:space="preserve">Class 7. November 8. </w:t>
      </w:r>
      <w:r w:rsidRPr="00AF2DA7">
        <w:rPr>
          <w:b/>
          <w:lang w:val="en-US"/>
        </w:rPr>
        <w:t>Special legal regimes I. Indigenous rights, refugee protection.</w:t>
      </w:r>
      <w:r w:rsidRPr="00AF2DA7">
        <w:rPr>
          <w:b/>
          <w:color w:val="000000" w:themeColor="text1"/>
        </w:rPr>
        <w:t xml:space="preserve"> Participation feedback.</w:t>
      </w:r>
      <w:r w:rsidRPr="0072696C">
        <w:rPr>
          <w:b/>
        </w:rPr>
        <w:t xml:space="preserve"> Discussing final paper and </w:t>
      </w:r>
      <w:r w:rsidRPr="00AC22F9">
        <w:rPr>
          <w:b/>
        </w:rPr>
        <w:t>presentation topics.</w:t>
      </w:r>
    </w:p>
    <w:p w14:paraId="6ED792BC" w14:textId="77777777" w:rsidR="00B83D61" w:rsidRDefault="00B83D61" w:rsidP="00B83D61">
      <w:pPr>
        <w:jc w:val="both"/>
        <w:rPr>
          <w:b/>
        </w:rPr>
      </w:pPr>
      <w:r w:rsidRPr="00AC22F9">
        <w:rPr>
          <w:b/>
        </w:rPr>
        <w:t xml:space="preserve">Class 8. November 15. </w:t>
      </w:r>
      <w:r w:rsidRPr="002E4C49">
        <w:rPr>
          <w:b/>
          <w:lang w:val="en-US"/>
        </w:rPr>
        <w:t xml:space="preserve">Special legal regimes II. </w:t>
      </w:r>
      <w:r>
        <w:rPr>
          <w:b/>
          <w:lang w:val="en-US"/>
        </w:rPr>
        <w:t>E</w:t>
      </w:r>
      <w:r w:rsidRPr="002E4C49">
        <w:rPr>
          <w:b/>
          <w:lang w:val="en-US"/>
        </w:rPr>
        <w:t>thnic profiling and data collection in law enforcement, hate crimes, hate speech</w:t>
      </w:r>
      <w:r>
        <w:rPr>
          <w:b/>
          <w:lang w:val="en-US"/>
        </w:rPr>
        <w:t>, refugee procedures. D</w:t>
      </w:r>
      <w:r w:rsidRPr="002E4C49">
        <w:rPr>
          <w:b/>
          <w:lang w:val="en-US"/>
        </w:rPr>
        <w:t>iscussing final paper and presentation topics</w:t>
      </w:r>
      <w:r>
        <w:rPr>
          <w:b/>
          <w:lang w:val="en-US"/>
        </w:rPr>
        <w:t>.</w:t>
      </w:r>
    </w:p>
    <w:p w14:paraId="468F6F05" w14:textId="77777777" w:rsidR="00B83D61" w:rsidRDefault="00B83D61" w:rsidP="00B83D61">
      <w:pPr>
        <w:jc w:val="both"/>
        <w:rPr>
          <w:b/>
        </w:rPr>
      </w:pPr>
      <w:r w:rsidRPr="00AC22F9">
        <w:rPr>
          <w:b/>
        </w:rPr>
        <w:t>Class 9. November 22</w:t>
      </w:r>
      <w:r>
        <w:rPr>
          <w:b/>
        </w:rPr>
        <w:t xml:space="preserve">. </w:t>
      </w:r>
      <w:r w:rsidRPr="002E4C49">
        <w:rPr>
          <w:b/>
          <w:lang w:val="en-US"/>
        </w:rPr>
        <w:t>Special legal regimes I</w:t>
      </w:r>
      <w:r>
        <w:rPr>
          <w:b/>
        </w:rPr>
        <w:t>I</w:t>
      </w:r>
      <w:r w:rsidRPr="002E4C49">
        <w:rPr>
          <w:b/>
          <w:lang w:val="en-US"/>
        </w:rPr>
        <w:t>I.</w:t>
      </w:r>
      <w:r>
        <w:rPr>
          <w:b/>
          <w:color w:val="FF0000"/>
        </w:rPr>
        <w:t xml:space="preserve"> </w:t>
      </w:r>
      <w:r w:rsidRPr="002E4C49">
        <w:rPr>
          <w:b/>
          <w:lang w:val="en-US"/>
        </w:rPr>
        <w:t xml:space="preserve">The political representation of </w:t>
      </w:r>
      <w:r>
        <w:rPr>
          <w:b/>
        </w:rPr>
        <w:t xml:space="preserve">minorities and ethnic registers. </w:t>
      </w:r>
      <w:r w:rsidRPr="00AC22F9">
        <w:rPr>
          <w:b/>
        </w:rPr>
        <w:t>Abstract for final paper and presentation due.</w:t>
      </w:r>
    </w:p>
    <w:p w14:paraId="4D3411BE" w14:textId="77777777" w:rsidR="007C61DA" w:rsidRPr="00AA1C49" w:rsidRDefault="007C61DA" w:rsidP="007C61DA">
      <w:pPr>
        <w:jc w:val="both"/>
        <w:rPr>
          <w:b/>
        </w:rPr>
      </w:pPr>
      <w:r w:rsidRPr="00BC0997">
        <w:rPr>
          <w:b/>
        </w:rPr>
        <w:t>Class 1</w:t>
      </w:r>
      <w:r>
        <w:rPr>
          <w:b/>
        </w:rPr>
        <w:t>0-11</w:t>
      </w:r>
      <w:r w:rsidRPr="00BC0997">
        <w:rPr>
          <w:b/>
        </w:rPr>
        <w:t xml:space="preserve">. November 29. Double session, class roundtable: national reports and case studies  </w:t>
      </w:r>
    </w:p>
    <w:p w14:paraId="09F1F497" w14:textId="12E7FCEA" w:rsidR="007C61DA" w:rsidRDefault="007C61DA">
      <w:pPr>
        <w:rPr>
          <w:b/>
          <w:lang w:val="en-US"/>
        </w:rPr>
      </w:pPr>
      <w:r>
        <w:rPr>
          <w:b/>
          <w:lang w:val="en-US"/>
        </w:rPr>
        <w:br w:type="page"/>
      </w:r>
    </w:p>
    <w:p w14:paraId="408D2B28" w14:textId="60A08A99" w:rsidR="00013546" w:rsidRPr="00CD34EF" w:rsidRDefault="00013546" w:rsidP="008B37F8">
      <w:pPr>
        <w:tabs>
          <w:tab w:val="left" w:pos="7140"/>
        </w:tabs>
        <w:jc w:val="both"/>
        <w:rPr>
          <w:b/>
          <w:lang w:val="en-US"/>
        </w:rPr>
      </w:pPr>
      <w:r w:rsidRPr="00CD34EF">
        <w:rPr>
          <w:b/>
          <w:lang w:val="en-US"/>
        </w:rPr>
        <w:lastRenderedPageBreak/>
        <w:t>READINGS</w:t>
      </w:r>
      <w:r w:rsidR="00412B4A" w:rsidRPr="00CD34EF">
        <w:rPr>
          <w:b/>
          <w:lang w:val="en-US"/>
        </w:rPr>
        <w:t xml:space="preserve"> AND PRESENTATIONS</w:t>
      </w:r>
      <w:r w:rsidRPr="00CD34EF">
        <w:rPr>
          <w:b/>
          <w:lang w:val="en-US"/>
        </w:rPr>
        <w:t>:</w:t>
      </w:r>
    </w:p>
    <w:p w14:paraId="02BD77E6" w14:textId="77777777" w:rsidR="00711B1E" w:rsidRPr="00CD34EF" w:rsidRDefault="00711B1E" w:rsidP="008B37F8">
      <w:pPr>
        <w:jc w:val="both"/>
        <w:rPr>
          <w:b/>
          <w:lang w:val="en-US"/>
        </w:rPr>
      </w:pPr>
    </w:p>
    <w:p w14:paraId="560EBE70" w14:textId="77777777" w:rsidR="008B6FA5" w:rsidRPr="0098277D" w:rsidRDefault="008B6FA5" w:rsidP="008B6FA5">
      <w:pPr>
        <w:rPr>
          <w:b/>
          <w:lang w:val="en-US"/>
        </w:rPr>
      </w:pPr>
      <w:r w:rsidRPr="00854DFF">
        <w:rPr>
          <w:b/>
        </w:rPr>
        <w:t xml:space="preserve">Class 1. September 20. </w:t>
      </w:r>
      <w:r w:rsidRPr="0098277D">
        <w:rPr>
          <w:b/>
          <w:lang w:val="en-US"/>
        </w:rPr>
        <w:t>Introduction. The concept of rights, human rights and minority rights</w:t>
      </w:r>
    </w:p>
    <w:p w14:paraId="4C864EB3" w14:textId="77777777" w:rsidR="00711B1E" w:rsidRPr="00CD34EF" w:rsidRDefault="00711B1E" w:rsidP="008B37F8">
      <w:pPr>
        <w:jc w:val="both"/>
        <w:rPr>
          <w:b/>
          <w:lang w:val="en-US"/>
        </w:rPr>
      </w:pPr>
    </w:p>
    <w:p w14:paraId="1502B13D" w14:textId="6415F45F" w:rsidR="008B6FA5" w:rsidRPr="0098277D" w:rsidRDefault="008B6FA5" w:rsidP="008B6FA5">
      <w:pPr>
        <w:rPr>
          <w:b/>
          <w:lang w:val="en-US"/>
        </w:rPr>
      </w:pPr>
      <w:r w:rsidRPr="00854DFF">
        <w:rPr>
          <w:b/>
        </w:rPr>
        <w:t xml:space="preserve">Class 2. September 27. </w:t>
      </w:r>
      <w:r w:rsidRPr="0098277D">
        <w:rPr>
          <w:b/>
          <w:lang w:val="en-US"/>
        </w:rPr>
        <w:t>The concept of rights, human rights and minority rights</w:t>
      </w:r>
      <w:r>
        <w:rPr>
          <w:b/>
          <w:lang w:val="en-US"/>
        </w:rPr>
        <w:t>: international documents</w:t>
      </w:r>
      <w:r w:rsidRPr="0098277D">
        <w:rPr>
          <w:b/>
          <w:lang w:val="en-US"/>
        </w:rPr>
        <w:t xml:space="preserve"> </w:t>
      </w:r>
    </w:p>
    <w:p w14:paraId="2340D28E" w14:textId="2C65935E" w:rsidR="003B55E9" w:rsidRPr="003B55E9" w:rsidRDefault="003B55E9" w:rsidP="00B73EC2">
      <w:pPr>
        <w:shd w:val="clear" w:color="auto" w:fill="FFFFFF"/>
        <w:jc w:val="both"/>
        <w:textAlignment w:val="baseline"/>
        <w:rPr>
          <w:bCs/>
          <w:u w:val="single"/>
          <w:lang w:val="en-US"/>
        </w:rPr>
      </w:pPr>
      <w:r w:rsidRPr="003B55E9">
        <w:rPr>
          <w:bCs/>
          <w:u w:val="single"/>
          <w:lang w:val="en-US"/>
        </w:rPr>
        <w:t xml:space="preserve">Human rights and minority rights </w:t>
      </w:r>
    </w:p>
    <w:p w14:paraId="1D62D825" w14:textId="18B99975" w:rsidR="00B73EC2" w:rsidRPr="008808CB" w:rsidRDefault="00B73EC2" w:rsidP="00B73EC2">
      <w:pPr>
        <w:shd w:val="clear" w:color="auto" w:fill="FFFFFF"/>
        <w:jc w:val="both"/>
        <w:textAlignment w:val="baseline"/>
        <w:rPr>
          <w:rFonts w:ascii="Segoe UI" w:hAnsi="Segoe UI" w:cs="Segoe UI"/>
          <w:sz w:val="18"/>
          <w:szCs w:val="18"/>
        </w:rPr>
      </w:pPr>
      <w:r w:rsidRPr="008808CB">
        <w:rPr>
          <w:i/>
          <w:iCs/>
          <w:u w:val="single"/>
        </w:rPr>
        <w:t>Reading</w:t>
      </w:r>
      <w:r w:rsidRPr="008808CB">
        <w:t> </w:t>
      </w:r>
    </w:p>
    <w:p w14:paraId="740AB797" w14:textId="77777777" w:rsidR="00B73EC2" w:rsidRPr="004B6E83" w:rsidRDefault="00B73EC2" w:rsidP="00B73EC2">
      <w:pPr>
        <w:shd w:val="clear" w:color="auto" w:fill="FFFFFF"/>
        <w:jc w:val="both"/>
        <w:textAlignment w:val="baseline"/>
        <w:rPr>
          <w:rFonts w:ascii="Segoe UI" w:hAnsi="Segoe UI" w:cs="Segoe UI"/>
          <w:sz w:val="18"/>
          <w:szCs w:val="18"/>
        </w:rPr>
      </w:pPr>
      <w:r w:rsidRPr="004B6E83">
        <w:t>Louis Henkin: Age of Rights, Introduction: The human rights idea, p.1-10 </w:t>
      </w:r>
    </w:p>
    <w:p w14:paraId="6E04C3FA" w14:textId="77777777" w:rsidR="008808CB" w:rsidRPr="008808CB" w:rsidRDefault="008808CB" w:rsidP="00B73EC2">
      <w:pPr>
        <w:shd w:val="clear" w:color="auto" w:fill="FFFFFF"/>
        <w:jc w:val="both"/>
        <w:textAlignment w:val="baseline"/>
        <w:rPr>
          <w:lang w:val="en-US"/>
        </w:rPr>
      </w:pPr>
      <w:r w:rsidRPr="004B6E83">
        <w:rPr>
          <w:lang w:val="en-US"/>
        </w:rPr>
        <w:t xml:space="preserve">Brunner, Georg – Küpper, Herbert: European Options of Autonomy: A Typology of Autonomy Models of Minority Self-Governments. In: </w:t>
      </w:r>
      <w:r w:rsidRPr="004B6E83">
        <w:rPr>
          <w:rStyle w:val="Kiemels2"/>
          <w:b w:val="0"/>
          <w:lang w:val="en-US"/>
        </w:rPr>
        <w:t>Kinga Gál</w:t>
      </w:r>
      <w:r w:rsidRPr="004B6E83">
        <w:rPr>
          <w:b/>
          <w:lang w:val="en-US"/>
        </w:rPr>
        <w:t xml:space="preserve"> </w:t>
      </w:r>
      <w:r w:rsidRPr="004B6E83">
        <w:rPr>
          <w:lang w:val="en-US"/>
        </w:rPr>
        <w:t>(ed.),</w:t>
      </w:r>
      <w:r w:rsidRPr="004B6E83">
        <w:rPr>
          <w:b/>
          <w:lang w:val="en-US"/>
        </w:rPr>
        <w:t xml:space="preserve"> </w:t>
      </w:r>
      <w:r w:rsidRPr="004B6E83">
        <w:rPr>
          <w:rStyle w:val="Kiemels2"/>
          <w:b w:val="0"/>
          <w:lang w:val="en-US"/>
        </w:rPr>
        <w:t xml:space="preserve">Minority governance in Europe, </w:t>
      </w:r>
      <w:r w:rsidRPr="004B6E83">
        <w:rPr>
          <w:lang w:val="en-US"/>
        </w:rPr>
        <w:t>Budapest: LGI &amp; ECMI, 2002,</w:t>
      </w:r>
      <w:r w:rsidRPr="004B6E83">
        <w:rPr>
          <w:b/>
          <w:lang w:val="en-US"/>
        </w:rPr>
        <w:t xml:space="preserve"> </w:t>
      </w:r>
      <w:r w:rsidRPr="004B6E83">
        <w:rPr>
          <w:lang w:val="en-US"/>
        </w:rPr>
        <w:t>pp. 11-37</w:t>
      </w:r>
    </w:p>
    <w:p w14:paraId="317A2DC4" w14:textId="77777777" w:rsidR="00B73EC2" w:rsidRPr="008808CB" w:rsidRDefault="00B73EC2" w:rsidP="00B73EC2">
      <w:pPr>
        <w:shd w:val="clear" w:color="auto" w:fill="FFFFFF"/>
        <w:jc w:val="both"/>
        <w:textAlignment w:val="baseline"/>
        <w:rPr>
          <w:rFonts w:ascii="Segoe UI" w:hAnsi="Segoe UI" w:cs="Segoe UI"/>
          <w:sz w:val="18"/>
          <w:szCs w:val="18"/>
        </w:rPr>
      </w:pPr>
      <w:r w:rsidRPr="008808CB">
        <w:rPr>
          <w:i/>
          <w:iCs/>
          <w:u w:val="single"/>
        </w:rPr>
        <w:t>Recommended reading</w:t>
      </w:r>
      <w:r w:rsidRPr="008808CB">
        <w:t> </w:t>
      </w:r>
    </w:p>
    <w:p w14:paraId="373A8AED" w14:textId="77777777" w:rsidR="00B73EC2" w:rsidRPr="008808CB" w:rsidRDefault="00B73EC2" w:rsidP="00B73EC2">
      <w:pPr>
        <w:shd w:val="clear" w:color="auto" w:fill="FFFFFF"/>
        <w:jc w:val="both"/>
        <w:textAlignment w:val="baseline"/>
        <w:rPr>
          <w:rFonts w:ascii="Segoe UI" w:hAnsi="Segoe UI" w:cs="Segoe UI"/>
          <w:sz w:val="18"/>
          <w:szCs w:val="18"/>
        </w:rPr>
      </w:pPr>
      <w:r w:rsidRPr="008808CB">
        <w:t>Sen, Amartya: Human Rights and Asian Values, The New Republic, July 14-July 21, 1997 pp. 1-5. </w:t>
      </w:r>
    </w:p>
    <w:p w14:paraId="5BF06DF4" w14:textId="77777777" w:rsidR="00B73EC2" w:rsidRPr="004C1507" w:rsidRDefault="00B73EC2" w:rsidP="004C1507">
      <w:pPr>
        <w:jc w:val="both"/>
        <w:rPr>
          <w:lang w:val="en-US"/>
        </w:rPr>
      </w:pPr>
      <w:r w:rsidRPr="008808CB">
        <w:t>https://www.carnegiecouncil.org/publications/archive/morgenthau/254/_res/id=Attachments/i</w:t>
      </w:r>
      <w:r w:rsidRPr="004C1507">
        <w:rPr>
          <w:lang w:val="en-US"/>
        </w:rPr>
        <w:t>ndex=0/254_sen.pdf </w:t>
      </w:r>
    </w:p>
    <w:p w14:paraId="70ACAD22" w14:textId="35CFD546" w:rsidR="008808CB" w:rsidRPr="008808CB" w:rsidRDefault="008808CB" w:rsidP="008808CB">
      <w:pPr>
        <w:jc w:val="both"/>
        <w:rPr>
          <w:lang w:val="en-US"/>
        </w:rPr>
      </w:pPr>
      <w:r w:rsidRPr="008808CB">
        <w:rPr>
          <w:lang w:val="en-US"/>
        </w:rPr>
        <w:t>A compilation of thematic commentaries to the FCNM</w:t>
      </w:r>
    </w:p>
    <w:p w14:paraId="0135B101" w14:textId="7DDA0CA7" w:rsidR="008808CB" w:rsidRPr="008808CB" w:rsidRDefault="008808CB" w:rsidP="008808CB">
      <w:pPr>
        <w:jc w:val="both"/>
        <w:rPr>
          <w:lang w:val="en-US"/>
        </w:rPr>
      </w:pPr>
      <w:r w:rsidRPr="008808CB">
        <w:rPr>
          <w:lang w:val="en-US"/>
        </w:rPr>
        <w:t>https://rm.coe.int/16806b6a0b</w:t>
      </w:r>
    </w:p>
    <w:p w14:paraId="2B7AE7E4" w14:textId="77777777" w:rsidR="008808CB" w:rsidRPr="008808CB" w:rsidRDefault="008808CB" w:rsidP="008808CB">
      <w:pPr>
        <w:jc w:val="both"/>
        <w:rPr>
          <w:lang w:val="en-US"/>
        </w:rPr>
      </w:pPr>
      <w:r w:rsidRPr="008808CB">
        <w:rPr>
          <w:lang w:val="en-US"/>
        </w:rPr>
        <w:t>Minority rights: International standards and guidance for implementation</w:t>
      </w:r>
    </w:p>
    <w:p w14:paraId="4195A20F" w14:textId="48015BED" w:rsidR="008808CB" w:rsidRPr="008808CB" w:rsidRDefault="00457092" w:rsidP="008808CB">
      <w:pPr>
        <w:jc w:val="both"/>
        <w:rPr>
          <w:lang w:val="en-US"/>
        </w:rPr>
      </w:pPr>
      <w:hyperlink r:id="rId8" w:history="1">
        <w:r w:rsidR="008808CB" w:rsidRPr="008808CB">
          <w:rPr>
            <w:rStyle w:val="Hiperhivatkozs"/>
            <w:lang w:val="en-US"/>
          </w:rPr>
          <w:t>https://www.refworld.org/docid/4db80ca52.html</w:t>
        </w:r>
      </w:hyperlink>
    </w:p>
    <w:p w14:paraId="2B2E6F37" w14:textId="7730818A" w:rsidR="008808CB" w:rsidRPr="008808CB" w:rsidRDefault="008808CB" w:rsidP="008808CB">
      <w:pPr>
        <w:jc w:val="both"/>
        <w:rPr>
          <w:lang w:val="en-US"/>
        </w:rPr>
      </w:pPr>
      <w:r w:rsidRPr="008808CB">
        <w:rPr>
          <w:lang w:val="en-US"/>
        </w:rPr>
        <w:t>European Commission for Democracy through Law (Venice Commission) Compilation of opinions and reports concerning the protection of national minorities</w:t>
      </w:r>
    </w:p>
    <w:p w14:paraId="2F6D4D00" w14:textId="29ED4BC3" w:rsidR="008808CB" w:rsidRPr="008808CB" w:rsidRDefault="008808CB" w:rsidP="008808CB">
      <w:pPr>
        <w:autoSpaceDE w:val="0"/>
        <w:autoSpaceDN w:val="0"/>
        <w:adjustRightInd w:val="0"/>
        <w:jc w:val="both"/>
        <w:outlineLvl w:val="0"/>
        <w:rPr>
          <w:bCs/>
          <w:lang w:val="en-US"/>
        </w:rPr>
      </w:pPr>
      <w:r w:rsidRPr="008808CB">
        <w:rPr>
          <w:bCs/>
          <w:lang w:val="en-US"/>
        </w:rPr>
        <w:t>https://www.venice.coe.int/webforms/documents/?pdf=CDL-PI(2018)002-e</w:t>
      </w:r>
    </w:p>
    <w:p w14:paraId="4560BBC7" w14:textId="01470835" w:rsidR="003B55E9" w:rsidRPr="008808CB" w:rsidRDefault="003B55E9" w:rsidP="003B55E9">
      <w:pPr>
        <w:jc w:val="both"/>
        <w:outlineLvl w:val="0"/>
        <w:rPr>
          <w:u w:val="single"/>
          <w:lang w:val="en-US"/>
        </w:rPr>
      </w:pPr>
      <w:r w:rsidRPr="008808CB">
        <w:rPr>
          <w:u w:val="single"/>
          <w:lang w:val="en-US"/>
        </w:rPr>
        <w:t>Human rights documents:</w:t>
      </w:r>
    </w:p>
    <w:p w14:paraId="31B70AE6" w14:textId="77777777" w:rsidR="00B73EC2" w:rsidRPr="008808CB" w:rsidRDefault="00B73EC2" w:rsidP="00B73EC2">
      <w:pPr>
        <w:shd w:val="clear" w:color="auto" w:fill="FFFFFF"/>
        <w:jc w:val="both"/>
        <w:textAlignment w:val="baseline"/>
        <w:rPr>
          <w:rFonts w:ascii="Segoe UI" w:hAnsi="Segoe UI" w:cs="Segoe UI"/>
          <w:sz w:val="18"/>
          <w:szCs w:val="18"/>
        </w:rPr>
      </w:pPr>
      <w:r w:rsidRPr="008808CB">
        <w:t xml:space="preserve">Universal Declaration of Human Rights </w:t>
      </w:r>
    </w:p>
    <w:p w14:paraId="5629EA8D" w14:textId="77777777" w:rsidR="00B73EC2" w:rsidRPr="008808CB" w:rsidRDefault="00457092" w:rsidP="00B73EC2">
      <w:pPr>
        <w:shd w:val="clear" w:color="auto" w:fill="FFFFFF"/>
        <w:jc w:val="both"/>
        <w:textAlignment w:val="baseline"/>
        <w:rPr>
          <w:rFonts w:ascii="Segoe UI" w:hAnsi="Segoe UI" w:cs="Segoe UI"/>
          <w:sz w:val="18"/>
          <w:szCs w:val="18"/>
        </w:rPr>
      </w:pPr>
      <w:hyperlink r:id="rId9" w:tgtFrame="_blank" w:history="1">
        <w:r w:rsidR="00B73EC2" w:rsidRPr="008808CB">
          <w:rPr>
            <w:u w:val="single"/>
          </w:rPr>
          <w:t>https://www.un.org/en/universal-declaration-human-rights/</w:t>
        </w:r>
      </w:hyperlink>
      <w:r w:rsidR="00B73EC2" w:rsidRPr="008808CB">
        <w:t> </w:t>
      </w:r>
    </w:p>
    <w:p w14:paraId="21180AA0" w14:textId="77777777" w:rsidR="00B73EC2" w:rsidRPr="008808CB" w:rsidRDefault="00B73EC2" w:rsidP="00B73EC2">
      <w:pPr>
        <w:shd w:val="clear" w:color="auto" w:fill="FFFFFF"/>
        <w:jc w:val="both"/>
        <w:textAlignment w:val="baseline"/>
        <w:rPr>
          <w:rFonts w:ascii="Segoe UI" w:hAnsi="Segoe UI" w:cs="Segoe UI"/>
          <w:sz w:val="18"/>
          <w:szCs w:val="18"/>
        </w:rPr>
      </w:pPr>
      <w:r w:rsidRPr="008808CB">
        <w:t xml:space="preserve">International Covenant on Civil and Political Rights </w:t>
      </w:r>
    </w:p>
    <w:p w14:paraId="325C6914" w14:textId="77777777" w:rsidR="00B73EC2" w:rsidRPr="008808CB" w:rsidRDefault="00457092" w:rsidP="00B73EC2">
      <w:pPr>
        <w:shd w:val="clear" w:color="auto" w:fill="FFFFFF"/>
        <w:jc w:val="both"/>
        <w:textAlignment w:val="baseline"/>
        <w:rPr>
          <w:rFonts w:ascii="Segoe UI" w:hAnsi="Segoe UI" w:cs="Segoe UI"/>
          <w:sz w:val="18"/>
          <w:szCs w:val="18"/>
        </w:rPr>
      </w:pPr>
      <w:hyperlink r:id="rId10" w:tgtFrame="_blank" w:history="1">
        <w:r w:rsidR="00B73EC2" w:rsidRPr="008808CB">
          <w:rPr>
            <w:u w:val="single"/>
          </w:rPr>
          <w:t>https://www.ohchr.org/en/professionalinterest/pages/ccpr.aspx</w:t>
        </w:r>
      </w:hyperlink>
      <w:r w:rsidR="00B73EC2" w:rsidRPr="008808CB">
        <w:t> </w:t>
      </w:r>
    </w:p>
    <w:p w14:paraId="3C9D6CD9" w14:textId="28F495F7" w:rsidR="008808CB" w:rsidRPr="008808CB" w:rsidRDefault="008808CB" w:rsidP="008808CB">
      <w:pPr>
        <w:shd w:val="clear" w:color="auto" w:fill="FFFFFF"/>
        <w:jc w:val="both"/>
        <w:textAlignment w:val="baseline"/>
      </w:pPr>
      <w:r w:rsidRPr="008808CB">
        <w:t>International Covenant on Economic, Social and Cultural Rights</w:t>
      </w:r>
    </w:p>
    <w:p w14:paraId="4A29DA4E" w14:textId="5D8D046D" w:rsidR="008808CB" w:rsidRPr="008808CB" w:rsidRDefault="008808CB" w:rsidP="008808CB">
      <w:pPr>
        <w:shd w:val="clear" w:color="auto" w:fill="FFFFFF"/>
        <w:jc w:val="both"/>
        <w:textAlignment w:val="baseline"/>
      </w:pPr>
      <w:r w:rsidRPr="008808CB">
        <w:t>https://www.ohchr.org/en/professionalinterest/pages/cescr.aspx</w:t>
      </w:r>
    </w:p>
    <w:p w14:paraId="1E37ECA6" w14:textId="77777777" w:rsidR="00B73EC2" w:rsidRPr="008808CB" w:rsidRDefault="00B73EC2" w:rsidP="00B73EC2">
      <w:pPr>
        <w:shd w:val="clear" w:color="auto" w:fill="FFFFFF"/>
        <w:jc w:val="both"/>
        <w:textAlignment w:val="baseline"/>
        <w:rPr>
          <w:rFonts w:ascii="Segoe UI" w:hAnsi="Segoe UI" w:cs="Segoe UI"/>
          <w:sz w:val="18"/>
          <w:szCs w:val="18"/>
        </w:rPr>
      </w:pPr>
      <w:r w:rsidRPr="008808CB">
        <w:t xml:space="preserve">European Convention on Human Rights </w:t>
      </w:r>
    </w:p>
    <w:p w14:paraId="627E619D" w14:textId="77777777" w:rsidR="00B73EC2" w:rsidRPr="008808CB" w:rsidRDefault="00457092" w:rsidP="00B73EC2">
      <w:pPr>
        <w:shd w:val="clear" w:color="auto" w:fill="FFFFFF"/>
        <w:jc w:val="both"/>
        <w:textAlignment w:val="baseline"/>
        <w:rPr>
          <w:rFonts w:ascii="Segoe UI" w:hAnsi="Segoe UI" w:cs="Segoe UI"/>
          <w:sz w:val="18"/>
          <w:szCs w:val="18"/>
        </w:rPr>
      </w:pPr>
      <w:hyperlink r:id="rId11" w:tgtFrame="_blank" w:history="1">
        <w:r w:rsidR="00B73EC2" w:rsidRPr="008808CB">
          <w:rPr>
            <w:u w:val="single"/>
          </w:rPr>
          <w:t>https://www.echr.coe.int/Documents/Convention_Eng.pdf</w:t>
        </w:r>
      </w:hyperlink>
      <w:r w:rsidR="00B73EC2" w:rsidRPr="008808CB">
        <w:t> </w:t>
      </w:r>
    </w:p>
    <w:p w14:paraId="25739E8D" w14:textId="77777777" w:rsidR="00B73EC2" w:rsidRPr="008808CB" w:rsidRDefault="00B73EC2" w:rsidP="00B73EC2">
      <w:pPr>
        <w:shd w:val="clear" w:color="auto" w:fill="FFFFFF"/>
        <w:jc w:val="both"/>
        <w:textAlignment w:val="baseline"/>
        <w:rPr>
          <w:rFonts w:ascii="Segoe UI" w:hAnsi="Segoe UI" w:cs="Segoe UI"/>
          <w:sz w:val="18"/>
          <w:szCs w:val="18"/>
        </w:rPr>
      </w:pPr>
      <w:r w:rsidRPr="008808CB">
        <w:t xml:space="preserve">American Convention on Human Rights </w:t>
      </w:r>
    </w:p>
    <w:p w14:paraId="5F964AE2" w14:textId="77777777" w:rsidR="00B73EC2" w:rsidRPr="008808CB" w:rsidRDefault="00457092" w:rsidP="00B73EC2">
      <w:pPr>
        <w:shd w:val="clear" w:color="auto" w:fill="FFFFFF"/>
        <w:jc w:val="both"/>
        <w:textAlignment w:val="baseline"/>
        <w:rPr>
          <w:rFonts w:ascii="Segoe UI" w:hAnsi="Segoe UI" w:cs="Segoe UI"/>
          <w:sz w:val="18"/>
          <w:szCs w:val="18"/>
        </w:rPr>
      </w:pPr>
      <w:hyperlink r:id="rId12" w:tgtFrame="_blank" w:history="1">
        <w:r w:rsidR="00B73EC2" w:rsidRPr="008808CB">
          <w:rPr>
            <w:u w:val="single"/>
          </w:rPr>
          <w:t>https://treaties.un.org/doc/publication/unts/volume%201144/volume-1144-i-17955-english.pdf</w:t>
        </w:r>
      </w:hyperlink>
      <w:r w:rsidR="00B73EC2" w:rsidRPr="008808CB">
        <w:t> </w:t>
      </w:r>
    </w:p>
    <w:p w14:paraId="3E4EA335" w14:textId="34586E63" w:rsidR="003B55E9" w:rsidRPr="008808CB" w:rsidRDefault="003B55E9" w:rsidP="003B55E9">
      <w:pPr>
        <w:shd w:val="clear" w:color="auto" w:fill="FFFFFF"/>
        <w:jc w:val="both"/>
        <w:textAlignment w:val="baseline"/>
      </w:pPr>
      <w:r w:rsidRPr="008808CB">
        <w:t>African Charter on Human and Peoples' Rights</w:t>
      </w:r>
    </w:p>
    <w:p w14:paraId="3F8F9159" w14:textId="335C2174" w:rsidR="003B55E9" w:rsidRPr="008808CB" w:rsidRDefault="00457092" w:rsidP="003B55E9">
      <w:pPr>
        <w:shd w:val="clear" w:color="auto" w:fill="FFFFFF"/>
        <w:jc w:val="both"/>
        <w:textAlignment w:val="baseline"/>
      </w:pPr>
      <w:hyperlink r:id="rId13" w:history="1">
        <w:r w:rsidR="008808CB" w:rsidRPr="008808CB">
          <w:rPr>
            <w:rStyle w:val="Hiperhivatkozs"/>
            <w:color w:val="auto"/>
          </w:rPr>
          <w:t>https://www.achpr.org/legalinstruments/detail?id=49</w:t>
        </w:r>
      </w:hyperlink>
    </w:p>
    <w:p w14:paraId="1C6FFB3E" w14:textId="77777777" w:rsidR="008808CB" w:rsidRPr="008808CB" w:rsidRDefault="008808CB" w:rsidP="003B55E9">
      <w:pPr>
        <w:shd w:val="clear" w:color="auto" w:fill="FFFFFF"/>
        <w:jc w:val="both"/>
        <w:textAlignment w:val="baseline"/>
      </w:pPr>
      <w:r w:rsidRPr="008808CB">
        <w:t>Asian Human Rights Charter</w:t>
      </w:r>
    </w:p>
    <w:p w14:paraId="1487566E" w14:textId="67B16B58" w:rsidR="008808CB" w:rsidRPr="008808CB" w:rsidRDefault="008808CB" w:rsidP="003B55E9">
      <w:pPr>
        <w:shd w:val="clear" w:color="auto" w:fill="FFFFFF"/>
        <w:jc w:val="both"/>
        <w:textAlignment w:val="baseline"/>
      </w:pPr>
      <w:r w:rsidRPr="008808CB">
        <w:t>https://www.refworld.org/pdfid/452678304.pdf</w:t>
      </w:r>
    </w:p>
    <w:p w14:paraId="23C39AC4" w14:textId="77777777" w:rsidR="00B73EC2" w:rsidRPr="008808CB" w:rsidRDefault="00B73EC2" w:rsidP="00B73EC2">
      <w:pPr>
        <w:shd w:val="clear" w:color="auto" w:fill="FFFFFF"/>
        <w:jc w:val="both"/>
        <w:textAlignment w:val="baseline"/>
        <w:rPr>
          <w:rFonts w:ascii="Segoe UI" w:hAnsi="Segoe UI" w:cs="Segoe UI"/>
          <w:sz w:val="18"/>
          <w:szCs w:val="18"/>
        </w:rPr>
      </w:pPr>
      <w:r w:rsidRPr="008808CB">
        <w:t xml:space="preserve">Charter of Fundamental Rights of the European Union </w:t>
      </w:r>
    </w:p>
    <w:p w14:paraId="221522CD" w14:textId="77777777" w:rsidR="00B73EC2" w:rsidRPr="008808CB" w:rsidRDefault="00457092" w:rsidP="00B73EC2">
      <w:pPr>
        <w:shd w:val="clear" w:color="auto" w:fill="FFFFFF"/>
        <w:jc w:val="both"/>
        <w:textAlignment w:val="baseline"/>
        <w:rPr>
          <w:rFonts w:ascii="Segoe UI" w:hAnsi="Segoe UI" w:cs="Segoe UI"/>
          <w:sz w:val="18"/>
          <w:szCs w:val="18"/>
        </w:rPr>
      </w:pPr>
      <w:hyperlink r:id="rId14" w:tgtFrame="_blank" w:history="1">
        <w:r w:rsidR="00B73EC2" w:rsidRPr="008808CB">
          <w:rPr>
            <w:u w:val="single"/>
          </w:rPr>
          <w:t>https://www.europarl.europa.eu/charter/pdf/text_en.pdf</w:t>
        </w:r>
      </w:hyperlink>
      <w:r w:rsidR="00B73EC2" w:rsidRPr="008808CB">
        <w:t> </w:t>
      </w:r>
    </w:p>
    <w:p w14:paraId="6D73DF2C" w14:textId="77777777" w:rsidR="003B55E9" w:rsidRPr="008808CB" w:rsidRDefault="003B55E9" w:rsidP="003B55E9">
      <w:pPr>
        <w:jc w:val="both"/>
        <w:outlineLvl w:val="0"/>
        <w:rPr>
          <w:u w:val="single"/>
          <w:lang w:val="en-US"/>
        </w:rPr>
      </w:pPr>
      <w:r w:rsidRPr="008808CB">
        <w:rPr>
          <w:u w:val="single"/>
          <w:lang w:val="en-US"/>
        </w:rPr>
        <w:t>Minority rights:</w:t>
      </w:r>
    </w:p>
    <w:p w14:paraId="1FE4E4E5" w14:textId="77777777" w:rsidR="00B73EC2" w:rsidRPr="008808CB" w:rsidRDefault="00B73EC2" w:rsidP="00B73EC2">
      <w:pPr>
        <w:shd w:val="clear" w:color="auto" w:fill="FFFFFF"/>
        <w:jc w:val="both"/>
        <w:textAlignment w:val="baseline"/>
        <w:rPr>
          <w:rFonts w:ascii="Segoe UI" w:hAnsi="Segoe UI" w:cs="Segoe UI"/>
          <w:sz w:val="18"/>
          <w:szCs w:val="18"/>
        </w:rPr>
      </w:pPr>
      <w:r w:rsidRPr="008808CB">
        <w:t>Declaration on the Rights of Persons Belonging to National or Ethnic, Religious and Linguistic Minorities </w:t>
      </w:r>
    </w:p>
    <w:p w14:paraId="2B2DF78A" w14:textId="77777777" w:rsidR="00B73EC2" w:rsidRPr="008808CB" w:rsidRDefault="00457092" w:rsidP="00B73EC2">
      <w:pPr>
        <w:shd w:val="clear" w:color="auto" w:fill="FFFFFF"/>
        <w:jc w:val="both"/>
        <w:textAlignment w:val="baseline"/>
        <w:rPr>
          <w:rFonts w:ascii="Segoe UI" w:hAnsi="Segoe UI" w:cs="Segoe UI"/>
          <w:sz w:val="18"/>
          <w:szCs w:val="18"/>
        </w:rPr>
      </w:pPr>
      <w:hyperlink r:id="rId15" w:tgtFrame="_blank" w:history="1">
        <w:r w:rsidR="00B73EC2" w:rsidRPr="008808CB">
          <w:rPr>
            <w:u w:val="single"/>
          </w:rPr>
          <w:t>https://www.ohchr.org/EN/ProfessionalInterest/Pages/Minorities.aspx</w:t>
        </w:r>
      </w:hyperlink>
      <w:r w:rsidR="00B73EC2" w:rsidRPr="008808CB">
        <w:t> </w:t>
      </w:r>
    </w:p>
    <w:p w14:paraId="332AEF62" w14:textId="17C4934F" w:rsidR="00AC3A91" w:rsidRDefault="00AC3A91" w:rsidP="008B37F8">
      <w:pPr>
        <w:jc w:val="both"/>
        <w:rPr>
          <w:lang w:val="en-US"/>
        </w:rPr>
      </w:pPr>
      <w:r w:rsidRPr="00CD34EF">
        <w:rPr>
          <w:lang w:val="en-US"/>
        </w:rPr>
        <w:t>Framework Convention for the Protection of National Minorities</w:t>
      </w:r>
    </w:p>
    <w:p w14:paraId="6B53EA5B" w14:textId="32567E3B" w:rsidR="003B55E9" w:rsidRPr="00CD34EF" w:rsidRDefault="003B55E9" w:rsidP="008B37F8">
      <w:pPr>
        <w:jc w:val="both"/>
        <w:rPr>
          <w:lang w:val="en-US"/>
        </w:rPr>
      </w:pPr>
      <w:r w:rsidRPr="003B55E9">
        <w:rPr>
          <w:lang w:val="en-US"/>
        </w:rPr>
        <w:t>https://www.coe.int/en/web/minorities/at-a-glance</w:t>
      </w:r>
    </w:p>
    <w:p w14:paraId="112E43CB" w14:textId="1A253F7B" w:rsidR="00AC3A91" w:rsidRDefault="00457092" w:rsidP="008B37F8">
      <w:pPr>
        <w:jc w:val="both"/>
        <w:rPr>
          <w:lang w:val="en-US"/>
        </w:rPr>
      </w:pPr>
      <w:hyperlink r:id="rId16" w:history="1">
        <w:r w:rsidR="00AC3A91" w:rsidRPr="00CD34EF">
          <w:rPr>
            <w:rStyle w:val="Hiperhivatkozs"/>
            <w:color w:val="auto"/>
            <w:u w:val="none"/>
            <w:lang w:val="en-US"/>
          </w:rPr>
          <w:t>European Charter for Regional or Minority Languages</w:t>
        </w:r>
      </w:hyperlink>
    </w:p>
    <w:p w14:paraId="2201059C" w14:textId="05AE5A6A" w:rsidR="003B55E9" w:rsidRPr="00CD34EF" w:rsidRDefault="003B55E9" w:rsidP="008B37F8">
      <w:pPr>
        <w:jc w:val="both"/>
        <w:rPr>
          <w:lang w:val="en-US"/>
        </w:rPr>
      </w:pPr>
      <w:r w:rsidRPr="003B55E9">
        <w:rPr>
          <w:lang w:val="en-US"/>
        </w:rPr>
        <w:lastRenderedPageBreak/>
        <w:t>https://www.coe.int/en/web/european-charter-regional-or-minority-languages</w:t>
      </w:r>
    </w:p>
    <w:p w14:paraId="36EB7746" w14:textId="77777777" w:rsidR="00AC3A91" w:rsidRPr="00CD34EF" w:rsidRDefault="00AC3A91" w:rsidP="008B37F8">
      <w:pPr>
        <w:jc w:val="both"/>
        <w:outlineLvl w:val="0"/>
        <w:rPr>
          <w:u w:val="single"/>
          <w:lang w:val="en-US"/>
        </w:rPr>
      </w:pPr>
      <w:r w:rsidRPr="00CD34EF">
        <w:rPr>
          <w:u w:val="single"/>
          <w:lang w:val="en-US"/>
        </w:rPr>
        <w:t>Non-ethnic Minorities</w:t>
      </w:r>
    </w:p>
    <w:p w14:paraId="245D3F19" w14:textId="7357FC8C" w:rsidR="00AC3A91" w:rsidRDefault="00457092" w:rsidP="008B37F8">
      <w:pPr>
        <w:jc w:val="both"/>
        <w:rPr>
          <w:lang w:val="en-US"/>
        </w:rPr>
      </w:pPr>
      <w:hyperlink r:id="rId17" w:tooltip="Convention on the Rights of Persons with Disabilities" w:history="1">
        <w:r w:rsidR="00AC3A91" w:rsidRPr="00CD34EF">
          <w:rPr>
            <w:rStyle w:val="Hiperhivatkozs"/>
            <w:color w:val="auto"/>
            <w:u w:val="none"/>
            <w:lang w:val="en-US"/>
          </w:rPr>
          <w:t>Convention on the Rights of Persons with Disabilities</w:t>
        </w:r>
      </w:hyperlink>
    </w:p>
    <w:p w14:paraId="118069B2" w14:textId="3250CF41" w:rsidR="003B55E9" w:rsidRPr="00CD34EF" w:rsidRDefault="003B55E9" w:rsidP="008B37F8">
      <w:pPr>
        <w:jc w:val="both"/>
        <w:rPr>
          <w:lang w:val="en-US"/>
        </w:rPr>
      </w:pPr>
      <w:r w:rsidRPr="003B55E9">
        <w:rPr>
          <w:lang w:val="en-US"/>
        </w:rPr>
        <w:t>https://www.ohchr.org/EN/HRBodies/CRPD/Pages/ConventionRightsPersonsWithDisabilities.aspx</w:t>
      </w:r>
    </w:p>
    <w:p w14:paraId="284A758E" w14:textId="18917EC3" w:rsidR="00AC3A91" w:rsidRDefault="00457092" w:rsidP="008B37F8">
      <w:pPr>
        <w:jc w:val="both"/>
        <w:rPr>
          <w:lang w:val="en-US"/>
        </w:rPr>
      </w:pPr>
      <w:hyperlink r:id="rId18" w:history="1">
        <w:r w:rsidR="00AC3A91" w:rsidRPr="00CD34EF">
          <w:rPr>
            <w:rStyle w:val="Hiperhivatkozs"/>
            <w:color w:val="auto"/>
            <w:u w:val="none"/>
            <w:lang w:val="en-US"/>
          </w:rPr>
          <w:t xml:space="preserve">The Convention on the Elimination of All Forms of Discrimination against Women </w:t>
        </w:r>
      </w:hyperlink>
    </w:p>
    <w:p w14:paraId="20B8BFCE" w14:textId="0B6FCFCB" w:rsidR="003B55E9" w:rsidRPr="00CD34EF" w:rsidRDefault="003B55E9" w:rsidP="008B37F8">
      <w:pPr>
        <w:jc w:val="both"/>
        <w:rPr>
          <w:lang w:val="en-US"/>
        </w:rPr>
      </w:pPr>
      <w:r w:rsidRPr="003B55E9">
        <w:rPr>
          <w:lang w:val="en-US"/>
        </w:rPr>
        <w:t>https://www.ohchr.org/en/professionalinterest/pages/cedaw.aspx</w:t>
      </w:r>
    </w:p>
    <w:p w14:paraId="4B8CA067" w14:textId="77419126" w:rsidR="00AC3A91" w:rsidRDefault="00AC3A91" w:rsidP="008B37F8">
      <w:pPr>
        <w:jc w:val="both"/>
        <w:rPr>
          <w:lang w:val="en-US"/>
        </w:rPr>
      </w:pPr>
      <w:r w:rsidRPr="00CD34EF">
        <w:rPr>
          <w:lang w:val="en-US"/>
        </w:rPr>
        <w:t>Convention on the rights of the child</w:t>
      </w:r>
    </w:p>
    <w:p w14:paraId="296A5DF6" w14:textId="4724B4D8" w:rsidR="003B55E9" w:rsidRPr="00CD34EF" w:rsidRDefault="003B55E9" w:rsidP="008B37F8">
      <w:pPr>
        <w:jc w:val="both"/>
        <w:rPr>
          <w:lang w:val="en-US"/>
        </w:rPr>
      </w:pPr>
      <w:r w:rsidRPr="003B55E9">
        <w:rPr>
          <w:lang w:val="en-US"/>
        </w:rPr>
        <w:t>https://www.ohchr.org/en/professionalinterest/pages/crc.aspx</w:t>
      </w:r>
    </w:p>
    <w:p w14:paraId="6CF264C2" w14:textId="79009088" w:rsidR="00AC3A91" w:rsidRDefault="00AC3A91" w:rsidP="008B37F8">
      <w:pPr>
        <w:jc w:val="both"/>
        <w:rPr>
          <w:lang w:val="en-US"/>
        </w:rPr>
      </w:pPr>
      <w:r w:rsidRPr="00CD34EF">
        <w:rPr>
          <w:lang w:val="en-US"/>
        </w:rPr>
        <w:t>Council of Europe Recommendation on the promotion of human rights of older persons</w:t>
      </w:r>
    </w:p>
    <w:p w14:paraId="25B5B043" w14:textId="64109A32" w:rsidR="003B55E9" w:rsidRPr="00CD34EF" w:rsidRDefault="003B55E9" w:rsidP="008B37F8">
      <w:pPr>
        <w:jc w:val="both"/>
        <w:rPr>
          <w:lang w:val="en-US"/>
        </w:rPr>
      </w:pPr>
      <w:r w:rsidRPr="003B55E9">
        <w:rPr>
          <w:lang w:val="en-US"/>
        </w:rPr>
        <w:t>https://search.coe.int/cm/Pages/result_details.aspx?ObjectID=09000016805c649f</w:t>
      </w:r>
    </w:p>
    <w:p w14:paraId="355B6967" w14:textId="787815A0" w:rsidR="003B55E9" w:rsidRDefault="00457092" w:rsidP="003B55E9">
      <w:pPr>
        <w:jc w:val="both"/>
        <w:outlineLvl w:val="0"/>
        <w:rPr>
          <w:lang w:val="en-US"/>
        </w:rPr>
      </w:pPr>
      <w:hyperlink r:id="rId19" w:tooltip="The Yogyakarta Principles" w:history="1">
        <w:r w:rsidR="003B55E9" w:rsidRPr="00CD34EF">
          <w:rPr>
            <w:rStyle w:val="Hiperhivatkozs"/>
            <w:color w:val="auto"/>
            <w:u w:val="none"/>
            <w:lang w:val="en-US"/>
          </w:rPr>
          <w:t>The Yogyakarta Principles</w:t>
        </w:r>
      </w:hyperlink>
      <w:r w:rsidR="003B55E9" w:rsidRPr="00CD34EF">
        <w:rPr>
          <w:lang w:val="en-US"/>
        </w:rPr>
        <w:t> </w:t>
      </w:r>
    </w:p>
    <w:p w14:paraId="31E2A059" w14:textId="5EE513BF" w:rsidR="003B55E9" w:rsidRDefault="00457092" w:rsidP="003B55E9">
      <w:pPr>
        <w:jc w:val="both"/>
        <w:outlineLvl w:val="0"/>
        <w:rPr>
          <w:lang w:val="en-US"/>
        </w:rPr>
      </w:pPr>
      <w:hyperlink r:id="rId20" w:history="1">
        <w:r w:rsidR="004C1507" w:rsidRPr="00BB3EE4">
          <w:rPr>
            <w:rStyle w:val="Hiperhivatkozs"/>
            <w:lang w:val="en-US"/>
          </w:rPr>
          <w:t>https://yogyakartaprinciples.org/</w:t>
        </w:r>
      </w:hyperlink>
    </w:p>
    <w:p w14:paraId="17D937D8" w14:textId="77777777" w:rsidR="004C1507" w:rsidRPr="00CD34EF" w:rsidRDefault="004C1507" w:rsidP="003B55E9">
      <w:pPr>
        <w:jc w:val="both"/>
        <w:outlineLvl w:val="0"/>
        <w:rPr>
          <w:lang w:val="en-US"/>
        </w:rPr>
      </w:pPr>
    </w:p>
    <w:p w14:paraId="3F8459D4" w14:textId="77777777" w:rsidR="00AC3A91" w:rsidRPr="00F6065C" w:rsidRDefault="00AC3A91" w:rsidP="008B37F8">
      <w:pPr>
        <w:jc w:val="both"/>
        <w:outlineLvl w:val="0"/>
        <w:rPr>
          <w:b/>
          <w:highlight w:val="darkGray"/>
          <w:lang w:val="en-US"/>
        </w:rPr>
      </w:pPr>
      <w:r w:rsidRPr="00F6065C">
        <w:rPr>
          <w:b/>
          <w:highlight w:val="darkGray"/>
          <w:lang w:val="en-US"/>
        </w:rPr>
        <w:t>Presentations:</w:t>
      </w:r>
    </w:p>
    <w:p w14:paraId="7A0EDFCC" w14:textId="77777777" w:rsidR="008808CB" w:rsidRPr="00A07364" w:rsidRDefault="008808CB" w:rsidP="00A07364">
      <w:pPr>
        <w:pStyle w:val="Listaszerbekezds"/>
        <w:numPr>
          <w:ilvl w:val="0"/>
          <w:numId w:val="30"/>
        </w:numPr>
        <w:shd w:val="clear" w:color="auto" w:fill="FFFFFF"/>
        <w:jc w:val="both"/>
        <w:textAlignment w:val="baseline"/>
        <w:rPr>
          <w:highlight w:val="darkGray"/>
        </w:rPr>
      </w:pPr>
      <w:r w:rsidRPr="00A07364">
        <w:rPr>
          <w:highlight w:val="darkGray"/>
        </w:rPr>
        <w:t xml:space="preserve">Universal Declaration of Human Rights </w:t>
      </w:r>
    </w:p>
    <w:p w14:paraId="226A7580" w14:textId="1FC08EDC" w:rsidR="008808CB" w:rsidRPr="00A07364" w:rsidRDefault="008808CB" w:rsidP="00A07364">
      <w:pPr>
        <w:pStyle w:val="Listaszerbekezds"/>
        <w:numPr>
          <w:ilvl w:val="0"/>
          <w:numId w:val="30"/>
        </w:numPr>
        <w:shd w:val="clear" w:color="auto" w:fill="FFFFFF"/>
        <w:jc w:val="both"/>
        <w:textAlignment w:val="baseline"/>
        <w:rPr>
          <w:highlight w:val="darkGray"/>
        </w:rPr>
      </w:pPr>
      <w:r w:rsidRPr="00A07364">
        <w:rPr>
          <w:highlight w:val="darkGray"/>
        </w:rPr>
        <w:t xml:space="preserve">International Covenant on Civil and Political Rights </w:t>
      </w:r>
    </w:p>
    <w:p w14:paraId="4C00AD61" w14:textId="77777777" w:rsidR="008808CB" w:rsidRPr="00A07364" w:rsidRDefault="008808CB" w:rsidP="00A07364">
      <w:pPr>
        <w:pStyle w:val="Listaszerbekezds"/>
        <w:numPr>
          <w:ilvl w:val="0"/>
          <w:numId w:val="30"/>
        </w:numPr>
        <w:shd w:val="clear" w:color="auto" w:fill="FFFFFF"/>
        <w:jc w:val="both"/>
        <w:textAlignment w:val="baseline"/>
        <w:rPr>
          <w:highlight w:val="darkGray"/>
        </w:rPr>
      </w:pPr>
      <w:r w:rsidRPr="00A07364">
        <w:rPr>
          <w:highlight w:val="darkGray"/>
        </w:rPr>
        <w:t>International Covenant on Economic, Social and Cultural Rights</w:t>
      </w:r>
    </w:p>
    <w:p w14:paraId="1F4B4722" w14:textId="77777777" w:rsidR="008808CB" w:rsidRPr="00A07364" w:rsidRDefault="008808CB" w:rsidP="00A07364">
      <w:pPr>
        <w:pStyle w:val="Listaszerbekezds"/>
        <w:numPr>
          <w:ilvl w:val="0"/>
          <w:numId w:val="30"/>
        </w:numPr>
        <w:shd w:val="clear" w:color="auto" w:fill="FFFFFF"/>
        <w:jc w:val="both"/>
        <w:textAlignment w:val="baseline"/>
        <w:rPr>
          <w:highlight w:val="darkGray"/>
        </w:rPr>
      </w:pPr>
      <w:r w:rsidRPr="00A07364">
        <w:rPr>
          <w:highlight w:val="darkGray"/>
        </w:rPr>
        <w:t xml:space="preserve">European Convention on Human Rights </w:t>
      </w:r>
    </w:p>
    <w:p w14:paraId="3736478E" w14:textId="77777777" w:rsidR="008808CB" w:rsidRPr="00A07364" w:rsidRDefault="008808CB" w:rsidP="00A07364">
      <w:pPr>
        <w:pStyle w:val="Listaszerbekezds"/>
        <w:numPr>
          <w:ilvl w:val="0"/>
          <w:numId w:val="30"/>
        </w:numPr>
        <w:shd w:val="clear" w:color="auto" w:fill="FFFFFF"/>
        <w:jc w:val="both"/>
        <w:textAlignment w:val="baseline"/>
        <w:rPr>
          <w:highlight w:val="darkGray"/>
        </w:rPr>
      </w:pPr>
      <w:r w:rsidRPr="00A07364">
        <w:rPr>
          <w:highlight w:val="darkGray"/>
        </w:rPr>
        <w:t xml:space="preserve">American Convention on Human Rights </w:t>
      </w:r>
    </w:p>
    <w:p w14:paraId="698F2481" w14:textId="77777777" w:rsidR="008808CB" w:rsidRPr="00A07364" w:rsidRDefault="008808CB" w:rsidP="00A07364">
      <w:pPr>
        <w:pStyle w:val="Listaszerbekezds"/>
        <w:numPr>
          <w:ilvl w:val="0"/>
          <w:numId w:val="30"/>
        </w:numPr>
        <w:shd w:val="clear" w:color="auto" w:fill="FFFFFF"/>
        <w:jc w:val="both"/>
        <w:textAlignment w:val="baseline"/>
        <w:rPr>
          <w:highlight w:val="darkGray"/>
        </w:rPr>
      </w:pPr>
      <w:r w:rsidRPr="00A07364">
        <w:rPr>
          <w:highlight w:val="darkGray"/>
        </w:rPr>
        <w:t>African Charter on Human and Peoples' Rights</w:t>
      </w:r>
    </w:p>
    <w:p w14:paraId="2B107D9F" w14:textId="77777777" w:rsidR="008808CB" w:rsidRPr="00A07364" w:rsidRDefault="008808CB" w:rsidP="00A07364">
      <w:pPr>
        <w:pStyle w:val="Listaszerbekezds"/>
        <w:numPr>
          <w:ilvl w:val="0"/>
          <w:numId w:val="30"/>
        </w:numPr>
        <w:shd w:val="clear" w:color="auto" w:fill="FFFFFF"/>
        <w:jc w:val="both"/>
        <w:textAlignment w:val="baseline"/>
        <w:rPr>
          <w:highlight w:val="darkGray"/>
        </w:rPr>
      </w:pPr>
      <w:r w:rsidRPr="00A07364">
        <w:rPr>
          <w:highlight w:val="darkGray"/>
        </w:rPr>
        <w:t>Asian Human Rights Charter</w:t>
      </w:r>
    </w:p>
    <w:p w14:paraId="23EAB6F6" w14:textId="77777777" w:rsidR="008808CB" w:rsidRPr="00A07364" w:rsidRDefault="008808CB" w:rsidP="00A07364">
      <w:pPr>
        <w:pStyle w:val="Listaszerbekezds"/>
        <w:numPr>
          <w:ilvl w:val="0"/>
          <w:numId w:val="30"/>
        </w:numPr>
        <w:shd w:val="clear" w:color="auto" w:fill="FFFFFF"/>
        <w:jc w:val="both"/>
        <w:textAlignment w:val="baseline"/>
        <w:rPr>
          <w:highlight w:val="darkGray"/>
        </w:rPr>
      </w:pPr>
      <w:r w:rsidRPr="00A07364">
        <w:rPr>
          <w:highlight w:val="darkGray"/>
        </w:rPr>
        <w:t xml:space="preserve">Charter of Fundamental Rights of the European Union </w:t>
      </w:r>
    </w:p>
    <w:p w14:paraId="2400BB03" w14:textId="77777777" w:rsidR="008808CB" w:rsidRPr="00A07364" w:rsidRDefault="008808CB" w:rsidP="00A07364">
      <w:pPr>
        <w:pStyle w:val="Listaszerbekezds"/>
        <w:numPr>
          <w:ilvl w:val="0"/>
          <w:numId w:val="30"/>
        </w:numPr>
        <w:shd w:val="clear" w:color="auto" w:fill="FFFFFF"/>
        <w:jc w:val="both"/>
        <w:textAlignment w:val="baseline"/>
        <w:rPr>
          <w:highlight w:val="darkGray"/>
        </w:rPr>
      </w:pPr>
      <w:r w:rsidRPr="00A07364">
        <w:rPr>
          <w:highlight w:val="darkGray"/>
        </w:rPr>
        <w:t>Declaration on the Rights of Persons Belonging to National or Ethnic, Religious and Linguistic Minorities </w:t>
      </w:r>
    </w:p>
    <w:p w14:paraId="367CC9DB" w14:textId="77777777" w:rsidR="008808CB" w:rsidRPr="00A07364" w:rsidRDefault="008808CB" w:rsidP="00A07364">
      <w:pPr>
        <w:pStyle w:val="Listaszerbekezds"/>
        <w:numPr>
          <w:ilvl w:val="0"/>
          <w:numId w:val="30"/>
        </w:numPr>
        <w:jc w:val="both"/>
        <w:rPr>
          <w:highlight w:val="darkGray"/>
          <w:lang w:val="en-US"/>
        </w:rPr>
      </w:pPr>
      <w:r w:rsidRPr="00A07364">
        <w:rPr>
          <w:highlight w:val="darkGray"/>
          <w:lang w:val="en-US"/>
        </w:rPr>
        <w:t>Framework Convention for the Protection of National Minorities</w:t>
      </w:r>
    </w:p>
    <w:p w14:paraId="21F564E9" w14:textId="77777777" w:rsidR="008808CB" w:rsidRPr="00A07364" w:rsidRDefault="00457092" w:rsidP="00A07364">
      <w:pPr>
        <w:pStyle w:val="Listaszerbekezds"/>
        <w:numPr>
          <w:ilvl w:val="0"/>
          <w:numId w:val="30"/>
        </w:numPr>
        <w:jc w:val="both"/>
        <w:rPr>
          <w:highlight w:val="darkGray"/>
          <w:lang w:val="en-US"/>
        </w:rPr>
      </w:pPr>
      <w:hyperlink r:id="rId21" w:history="1">
        <w:r w:rsidR="008808CB" w:rsidRPr="00A07364">
          <w:rPr>
            <w:rStyle w:val="Hiperhivatkozs"/>
            <w:color w:val="auto"/>
            <w:highlight w:val="darkGray"/>
            <w:u w:val="none"/>
            <w:lang w:val="en-US"/>
          </w:rPr>
          <w:t>European Charter for Regional or Minority Languages</w:t>
        </w:r>
      </w:hyperlink>
    </w:p>
    <w:p w14:paraId="2C01A178" w14:textId="77777777" w:rsidR="008808CB" w:rsidRPr="00A07364" w:rsidRDefault="00457092" w:rsidP="00A07364">
      <w:pPr>
        <w:pStyle w:val="Listaszerbekezds"/>
        <w:numPr>
          <w:ilvl w:val="0"/>
          <w:numId w:val="30"/>
        </w:numPr>
        <w:jc w:val="both"/>
        <w:rPr>
          <w:highlight w:val="darkGray"/>
          <w:lang w:val="en-US"/>
        </w:rPr>
      </w:pPr>
      <w:hyperlink r:id="rId22" w:tooltip="Convention on the Rights of Persons with Disabilities" w:history="1">
        <w:r w:rsidR="008808CB" w:rsidRPr="00A07364">
          <w:rPr>
            <w:rStyle w:val="Hiperhivatkozs"/>
            <w:color w:val="auto"/>
            <w:highlight w:val="darkGray"/>
            <w:u w:val="none"/>
            <w:lang w:val="en-US"/>
          </w:rPr>
          <w:t>Convention on the Rights of Persons with Disabilities</w:t>
        </w:r>
      </w:hyperlink>
    </w:p>
    <w:p w14:paraId="6616A065" w14:textId="77777777" w:rsidR="008808CB" w:rsidRPr="00A07364" w:rsidRDefault="00457092" w:rsidP="00A07364">
      <w:pPr>
        <w:pStyle w:val="Listaszerbekezds"/>
        <w:numPr>
          <w:ilvl w:val="0"/>
          <w:numId w:val="30"/>
        </w:numPr>
        <w:jc w:val="both"/>
        <w:rPr>
          <w:highlight w:val="darkGray"/>
          <w:lang w:val="en-US"/>
        </w:rPr>
      </w:pPr>
      <w:hyperlink r:id="rId23" w:history="1">
        <w:r w:rsidR="008808CB" w:rsidRPr="00A07364">
          <w:rPr>
            <w:rStyle w:val="Hiperhivatkozs"/>
            <w:color w:val="auto"/>
            <w:highlight w:val="darkGray"/>
            <w:u w:val="none"/>
            <w:lang w:val="en-US"/>
          </w:rPr>
          <w:t xml:space="preserve">The Convention on the Elimination of All Forms of Discrimination against Women </w:t>
        </w:r>
      </w:hyperlink>
    </w:p>
    <w:p w14:paraId="5AD339D5" w14:textId="77777777" w:rsidR="008808CB" w:rsidRPr="00A07364" w:rsidRDefault="008808CB" w:rsidP="00A07364">
      <w:pPr>
        <w:pStyle w:val="Listaszerbekezds"/>
        <w:numPr>
          <w:ilvl w:val="0"/>
          <w:numId w:val="30"/>
        </w:numPr>
        <w:jc w:val="both"/>
        <w:rPr>
          <w:highlight w:val="darkGray"/>
          <w:lang w:val="en-US"/>
        </w:rPr>
      </w:pPr>
      <w:r w:rsidRPr="00A07364">
        <w:rPr>
          <w:highlight w:val="darkGray"/>
          <w:lang w:val="en-US"/>
        </w:rPr>
        <w:t>Convention on the rights of the child</w:t>
      </w:r>
    </w:p>
    <w:p w14:paraId="67CE44A7" w14:textId="77777777" w:rsidR="008808CB" w:rsidRPr="00A07364" w:rsidRDefault="008808CB" w:rsidP="00A07364">
      <w:pPr>
        <w:pStyle w:val="Listaszerbekezds"/>
        <w:numPr>
          <w:ilvl w:val="0"/>
          <w:numId w:val="30"/>
        </w:numPr>
        <w:jc w:val="both"/>
        <w:rPr>
          <w:highlight w:val="darkGray"/>
          <w:lang w:val="en-US"/>
        </w:rPr>
      </w:pPr>
      <w:r w:rsidRPr="00A07364">
        <w:rPr>
          <w:highlight w:val="darkGray"/>
          <w:lang w:val="en-US"/>
        </w:rPr>
        <w:t>Council of Europe Recommendation on the promotion of human rights of older persons</w:t>
      </w:r>
    </w:p>
    <w:p w14:paraId="18F13F1C" w14:textId="69DDD122" w:rsidR="008808CB" w:rsidRPr="00A07364" w:rsidRDefault="00457092" w:rsidP="00A07364">
      <w:pPr>
        <w:pStyle w:val="Listaszerbekezds"/>
        <w:numPr>
          <w:ilvl w:val="0"/>
          <w:numId w:val="30"/>
        </w:numPr>
        <w:jc w:val="both"/>
        <w:outlineLvl w:val="0"/>
        <w:rPr>
          <w:highlight w:val="darkGray"/>
          <w:lang w:val="en-US"/>
        </w:rPr>
      </w:pPr>
      <w:hyperlink r:id="rId24" w:tooltip="The Yogyakarta Principles" w:history="1">
        <w:r w:rsidR="008808CB" w:rsidRPr="00A07364">
          <w:rPr>
            <w:rStyle w:val="Hiperhivatkozs"/>
            <w:color w:val="auto"/>
            <w:highlight w:val="darkGray"/>
            <w:u w:val="none"/>
            <w:lang w:val="en-US"/>
          </w:rPr>
          <w:t>The Yogyakarta Principles</w:t>
        </w:r>
      </w:hyperlink>
      <w:r w:rsidR="008808CB" w:rsidRPr="00A07364">
        <w:rPr>
          <w:highlight w:val="darkGray"/>
          <w:lang w:val="en-US"/>
        </w:rPr>
        <w:t> </w:t>
      </w:r>
    </w:p>
    <w:p w14:paraId="3E371A84" w14:textId="2EF7C373" w:rsidR="00D359D6" w:rsidRPr="00A07364" w:rsidRDefault="00D359D6" w:rsidP="00A07364">
      <w:pPr>
        <w:pStyle w:val="Listaszerbekezds"/>
        <w:numPr>
          <w:ilvl w:val="0"/>
          <w:numId w:val="30"/>
        </w:numPr>
        <w:jc w:val="both"/>
        <w:rPr>
          <w:highlight w:val="darkGray"/>
          <w:lang w:val="en-US"/>
        </w:rPr>
      </w:pPr>
      <w:r w:rsidRPr="00A07364">
        <w:rPr>
          <w:highlight w:val="darkGray"/>
          <w:lang w:val="en-US"/>
        </w:rPr>
        <w:t>the case for Asian values and delegitimizing the human rights discourse</w:t>
      </w:r>
    </w:p>
    <w:p w14:paraId="7211D9BB" w14:textId="6F056F5E" w:rsidR="00572AD3" w:rsidRDefault="00572AD3" w:rsidP="00A07364">
      <w:pPr>
        <w:pStyle w:val="Listaszerbekezds"/>
        <w:numPr>
          <w:ilvl w:val="0"/>
          <w:numId w:val="30"/>
        </w:numPr>
        <w:jc w:val="both"/>
        <w:rPr>
          <w:highlight w:val="darkGray"/>
          <w:lang w:val="en-US"/>
        </w:rPr>
      </w:pPr>
      <w:r w:rsidRPr="00A07364">
        <w:rPr>
          <w:highlight w:val="darkGray"/>
          <w:lang w:val="en-US"/>
        </w:rPr>
        <w:t>The Minority Safepack-case (</w:t>
      </w:r>
      <w:hyperlink r:id="rId25" w:history="1">
        <w:r w:rsidR="008B6FA5" w:rsidRPr="00821966">
          <w:rPr>
            <w:rStyle w:val="Hiperhivatkozs"/>
            <w:highlight w:val="darkGray"/>
            <w:lang w:val="en-US"/>
          </w:rPr>
          <w:t>https://www.fuen.org/en/article/Minority-SafePack-The-European-Commission-turned-its-back-on-national-minorities</w:t>
        </w:r>
      </w:hyperlink>
      <w:r w:rsidRPr="00A07364">
        <w:rPr>
          <w:highlight w:val="darkGray"/>
          <w:lang w:val="en-US"/>
        </w:rPr>
        <w:t>)</w:t>
      </w:r>
    </w:p>
    <w:p w14:paraId="6EF5EBD2" w14:textId="303C22AF" w:rsidR="008B6FA5" w:rsidRDefault="008B6FA5" w:rsidP="008B6FA5">
      <w:pPr>
        <w:pStyle w:val="Listaszerbekezds"/>
        <w:ind w:left="1260"/>
        <w:jc w:val="both"/>
        <w:rPr>
          <w:highlight w:val="darkGray"/>
          <w:lang w:val="en-US"/>
        </w:rPr>
      </w:pPr>
      <w:r>
        <w:rPr>
          <w:highlight w:val="darkGray"/>
          <w:lang w:val="en-US"/>
        </w:rPr>
        <w:t xml:space="preserve">PRESENTATION STRUCTURE: </w:t>
      </w:r>
    </w:p>
    <w:p w14:paraId="0E0B5FC8" w14:textId="3B52EA7D" w:rsidR="008B6FA5" w:rsidRDefault="008B6FA5" w:rsidP="008B6FA5">
      <w:pPr>
        <w:pStyle w:val="Listaszerbekezds"/>
        <w:numPr>
          <w:ilvl w:val="0"/>
          <w:numId w:val="32"/>
        </w:numPr>
        <w:jc w:val="both"/>
        <w:rPr>
          <w:highlight w:val="darkGray"/>
          <w:lang w:val="en-US"/>
        </w:rPr>
      </w:pPr>
      <w:r>
        <w:rPr>
          <w:highlight w:val="darkGray"/>
          <w:lang w:val="en-US"/>
        </w:rPr>
        <w:t>parties</w:t>
      </w:r>
    </w:p>
    <w:p w14:paraId="76FA98E5" w14:textId="02E1AB84" w:rsidR="008B6FA5" w:rsidRDefault="008B6FA5" w:rsidP="008B6FA5">
      <w:pPr>
        <w:pStyle w:val="Listaszerbekezds"/>
        <w:numPr>
          <w:ilvl w:val="0"/>
          <w:numId w:val="32"/>
        </w:numPr>
        <w:jc w:val="both"/>
        <w:rPr>
          <w:highlight w:val="darkGray"/>
          <w:lang w:val="en-US"/>
        </w:rPr>
      </w:pPr>
      <w:r>
        <w:rPr>
          <w:highlight w:val="darkGray"/>
          <w:lang w:val="en-US"/>
        </w:rPr>
        <w:t>“substance”</w:t>
      </w:r>
    </w:p>
    <w:p w14:paraId="267D9A48" w14:textId="766E2749" w:rsidR="008B6FA5" w:rsidRPr="00A07364" w:rsidRDefault="008B6FA5" w:rsidP="008B6FA5">
      <w:pPr>
        <w:pStyle w:val="Listaszerbekezds"/>
        <w:numPr>
          <w:ilvl w:val="0"/>
          <w:numId w:val="32"/>
        </w:numPr>
        <w:jc w:val="both"/>
        <w:rPr>
          <w:highlight w:val="darkGray"/>
          <w:lang w:val="en-US"/>
        </w:rPr>
      </w:pPr>
      <w:r>
        <w:rPr>
          <w:highlight w:val="darkGray"/>
          <w:lang w:val="en-US"/>
        </w:rPr>
        <w:t>enforce mechanism</w:t>
      </w:r>
    </w:p>
    <w:p w14:paraId="5B10F38E" w14:textId="77777777" w:rsidR="00C906F7" w:rsidRPr="00C906F7" w:rsidRDefault="00C906F7" w:rsidP="00C906F7">
      <w:pPr>
        <w:shd w:val="clear" w:color="auto" w:fill="FFFFFF"/>
        <w:jc w:val="both"/>
        <w:textAlignment w:val="baseline"/>
        <w:rPr>
          <w:color w:val="ED7D31"/>
        </w:rPr>
      </w:pPr>
    </w:p>
    <w:p w14:paraId="43121557" w14:textId="372061DC" w:rsidR="00B439DA" w:rsidRPr="00CD34EF" w:rsidRDefault="00997AAD" w:rsidP="00B439DA">
      <w:pPr>
        <w:rPr>
          <w:b/>
          <w:lang w:val="en-US"/>
        </w:rPr>
      </w:pPr>
      <w:r w:rsidRPr="00877C37">
        <w:rPr>
          <w:b/>
        </w:rPr>
        <w:t>Class 3. October 4</w:t>
      </w:r>
      <w:r>
        <w:rPr>
          <w:b/>
        </w:rPr>
        <w:t xml:space="preserve">. </w:t>
      </w:r>
      <w:r>
        <w:rPr>
          <w:b/>
          <w:lang w:val="en-US"/>
        </w:rPr>
        <w:t>International documents</w:t>
      </w:r>
      <w:r w:rsidR="00016DE6" w:rsidRPr="00CD34EF">
        <w:rPr>
          <w:b/>
          <w:lang w:val="en-US"/>
        </w:rPr>
        <w:t xml:space="preserve"> continued</w:t>
      </w:r>
      <w:r w:rsidR="00016DE6">
        <w:rPr>
          <w:b/>
          <w:lang w:val="en-US"/>
        </w:rPr>
        <w:t>, c</w:t>
      </w:r>
      <w:r w:rsidR="00B439DA" w:rsidRPr="00CD34EF">
        <w:rPr>
          <w:b/>
          <w:lang w:val="en-US"/>
        </w:rPr>
        <w:t>onflicts of individual and collective rights</w:t>
      </w:r>
      <w:r w:rsidR="00B439DA">
        <w:rPr>
          <w:b/>
          <w:lang w:val="en-US"/>
        </w:rPr>
        <w:t xml:space="preserve"> </w:t>
      </w:r>
    </w:p>
    <w:p w14:paraId="0A3C8E7F" w14:textId="77777777" w:rsidR="003B55E9" w:rsidRPr="00D359D6" w:rsidRDefault="003B55E9" w:rsidP="003B55E9">
      <w:pPr>
        <w:shd w:val="clear" w:color="auto" w:fill="FFFFFF"/>
        <w:jc w:val="both"/>
        <w:textAlignment w:val="baseline"/>
        <w:rPr>
          <w:rFonts w:ascii="Segoe UI" w:hAnsi="Segoe UI" w:cs="Segoe UI"/>
          <w:sz w:val="18"/>
          <w:szCs w:val="18"/>
        </w:rPr>
      </w:pPr>
      <w:r w:rsidRPr="00D359D6">
        <w:rPr>
          <w:i/>
          <w:iCs/>
          <w:u w:val="single"/>
        </w:rPr>
        <w:t>Reading</w:t>
      </w:r>
      <w:r w:rsidRPr="00D359D6">
        <w:t> </w:t>
      </w:r>
    </w:p>
    <w:p w14:paraId="50335044" w14:textId="77777777" w:rsidR="003B55E9" w:rsidRPr="00A07364" w:rsidRDefault="003B55E9" w:rsidP="003B55E9">
      <w:pPr>
        <w:jc w:val="both"/>
        <w:rPr>
          <w:lang w:val="en-US"/>
        </w:rPr>
      </w:pPr>
      <w:r w:rsidRPr="00A07364">
        <w:rPr>
          <w:lang w:val="en-US"/>
        </w:rPr>
        <w:t>Kymlicka, Will: Multicultural Citizenship, Individual Rights and Collective Rights, pp. 34-48</w:t>
      </w:r>
    </w:p>
    <w:p w14:paraId="69023465" w14:textId="77777777" w:rsidR="003B55E9" w:rsidRPr="00A07364" w:rsidRDefault="003B55E9" w:rsidP="003B55E9">
      <w:pPr>
        <w:jc w:val="both"/>
        <w:rPr>
          <w:lang w:val="en-US"/>
        </w:rPr>
      </w:pPr>
      <w:r w:rsidRPr="00A07364">
        <w:rPr>
          <w:lang w:val="en-US"/>
        </w:rPr>
        <w:t>Okin Moller, Susan: Is Multiculturalism Bad for Women?, In: Joshua Cohen, Matthew Howard and Martha C. Nussbaum (Eds.) Is Multiculturalism Bad for Women?, Princeton, New Yersey: Princeton University Press, 1999., pp. 9-24</w:t>
      </w:r>
    </w:p>
    <w:p w14:paraId="14A0F344" w14:textId="77777777" w:rsidR="003B55E9" w:rsidRPr="00A07364" w:rsidRDefault="003B55E9" w:rsidP="003B55E9">
      <w:pPr>
        <w:jc w:val="both"/>
        <w:outlineLvl w:val="0"/>
        <w:rPr>
          <w:lang w:val="en-US"/>
        </w:rPr>
      </w:pPr>
      <w:r w:rsidRPr="00A07364">
        <w:rPr>
          <w:lang w:val="en-US"/>
        </w:rPr>
        <w:t>Kymlicka, Will: Liberal Complacencies, Id. pp. 31-34</w:t>
      </w:r>
    </w:p>
    <w:p w14:paraId="7DA132BE" w14:textId="11FF9856" w:rsidR="003B55E9" w:rsidRDefault="003B55E9" w:rsidP="003B55E9">
      <w:pPr>
        <w:jc w:val="both"/>
        <w:rPr>
          <w:lang w:val="en-US"/>
        </w:rPr>
      </w:pPr>
      <w:r w:rsidRPr="00A07364">
        <w:rPr>
          <w:lang w:val="en-US"/>
        </w:rPr>
        <w:lastRenderedPageBreak/>
        <w:t>Sassen, Saskia: Culture Beyond Gender, Id. pp. 76-78</w:t>
      </w:r>
    </w:p>
    <w:p w14:paraId="1583D324" w14:textId="10609417" w:rsidR="00A07364" w:rsidRPr="00A07364" w:rsidRDefault="00A07364" w:rsidP="003B55E9">
      <w:pPr>
        <w:jc w:val="both"/>
        <w:rPr>
          <w:i/>
          <w:lang w:val="en-US"/>
        </w:rPr>
      </w:pPr>
      <w:r w:rsidRPr="00A07364">
        <w:rPr>
          <w:i/>
          <w:lang w:val="en-US"/>
        </w:rPr>
        <w:t>TO BE EMAILED</w:t>
      </w:r>
    </w:p>
    <w:p w14:paraId="7446CF8F" w14:textId="77777777" w:rsidR="00A42012" w:rsidRDefault="00EB1968" w:rsidP="00D359D6">
      <w:pPr>
        <w:shd w:val="clear" w:color="auto" w:fill="FFFFFF"/>
        <w:jc w:val="both"/>
        <w:textAlignment w:val="baseline"/>
      </w:pPr>
      <w:r>
        <w:t>Harmful Traditional Practices Affecting the Health of Women and Children</w:t>
      </w:r>
    </w:p>
    <w:p w14:paraId="2BE8ACCC" w14:textId="711957B6" w:rsidR="00D359D6" w:rsidRPr="00D359D6" w:rsidRDefault="00D359D6" w:rsidP="00D359D6">
      <w:pPr>
        <w:shd w:val="clear" w:color="auto" w:fill="FFFFFF"/>
        <w:jc w:val="both"/>
        <w:textAlignment w:val="baseline"/>
        <w:rPr>
          <w:rFonts w:ascii="Segoe UI" w:hAnsi="Segoe UI" w:cs="Segoe UI"/>
          <w:sz w:val="18"/>
          <w:szCs w:val="18"/>
        </w:rPr>
      </w:pPr>
      <w:r w:rsidRPr="00D359D6">
        <w:rPr>
          <w:i/>
          <w:iCs/>
          <w:u w:val="single"/>
        </w:rPr>
        <w:t>Recommended reading</w:t>
      </w:r>
      <w:r w:rsidR="00EB1968">
        <w:t xml:space="preserve">, </w:t>
      </w:r>
      <w:r w:rsidR="00EB1968" w:rsidRPr="00EB1968">
        <w:t>https://www.ohchr.org/sites/default/files/Documents/Publications/FactSheet23en.pdf</w:t>
      </w:r>
    </w:p>
    <w:p w14:paraId="3A8250DC" w14:textId="010D82BF" w:rsidR="004C1507" w:rsidRPr="00D359D6" w:rsidRDefault="004C1507" w:rsidP="004C1507">
      <w:pPr>
        <w:jc w:val="both"/>
        <w:rPr>
          <w:lang w:val="en-US"/>
        </w:rPr>
      </w:pPr>
      <w:r w:rsidRPr="00D359D6">
        <w:rPr>
          <w:lang w:val="en-US"/>
        </w:rPr>
        <w:t>Bideault v. France</w:t>
      </w:r>
    </w:p>
    <w:p w14:paraId="3464DA7E" w14:textId="4C661E60" w:rsidR="004C1507" w:rsidRDefault="004C1507" w:rsidP="004C1507">
      <w:pPr>
        <w:jc w:val="both"/>
        <w:rPr>
          <w:lang w:val="en-US"/>
        </w:rPr>
      </w:pPr>
      <w:r w:rsidRPr="00D359D6">
        <w:rPr>
          <w:lang w:val="en-US"/>
        </w:rPr>
        <w:t xml:space="preserve"> https://www.stradalex.com/nl/sl_src_publ_jur_int/document/echr_11261-84 </w:t>
      </w:r>
    </w:p>
    <w:p w14:paraId="4417B2BC" w14:textId="77777777" w:rsidR="007D7659" w:rsidRPr="00D359D6" w:rsidRDefault="007D7659" w:rsidP="007D7659">
      <w:pPr>
        <w:shd w:val="clear" w:color="auto" w:fill="FFFFFF"/>
        <w:jc w:val="both"/>
        <w:textAlignment w:val="baseline"/>
        <w:rPr>
          <w:rFonts w:ascii="Segoe UI" w:hAnsi="Segoe UI" w:cs="Segoe UI"/>
          <w:sz w:val="18"/>
          <w:szCs w:val="18"/>
        </w:rPr>
      </w:pPr>
      <w:r w:rsidRPr="00D359D6">
        <w:t>Eliminating Virginity Testing: An Interagency Statement </w:t>
      </w:r>
    </w:p>
    <w:p w14:paraId="04A82BDC" w14:textId="7421864A" w:rsidR="007D7659" w:rsidRDefault="00457092" w:rsidP="007D7659">
      <w:pPr>
        <w:jc w:val="both"/>
        <w:rPr>
          <w:u w:val="single"/>
        </w:rPr>
      </w:pPr>
      <w:hyperlink r:id="rId26" w:anchor=":~:text=An%20interagency%20statement&amp;text=As%20shown%20in%20a%20systematic,a%20history%20of%20vaginal%20intercourse" w:tgtFrame="_blank" w:history="1">
        <w:r w:rsidR="007D7659" w:rsidRPr="00D359D6">
          <w:rPr>
            <w:u w:val="single"/>
          </w:rPr>
          <w:t>https://www.who.int/reproductivehealth/publications/eliminating-virginity-testing-interagency-statement/en/#:~:text=An%20interagency%20statement&amp;text=As%20shown%20in%20a%20systematic,a%20history%20of%20vaginal%20intercourse</w:t>
        </w:r>
      </w:hyperlink>
    </w:p>
    <w:p w14:paraId="03207361" w14:textId="572C6ABD" w:rsidR="00EB1968" w:rsidRPr="00EB1968" w:rsidRDefault="00EB1968" w:rsidP="00EB1968">
      <w:pPr>
        <w:pStyle w:val="Cmsor1"/>
        <w:shd w:val="clear" w:color="auto" w:fill="FFFFFF"/>
        <w:spacing w:before="0" w:beforeAutospacing="0" w:after="0" w:afterAutospacing="0"/>
        <w:textAlignment w:val="baseline"/>
        <w:rPr>
          <w:b w:val="0"/>
          <w:bCs w:val="0"/>
          <w:kern w:val="0"/>
          <w:sz w:val="24"/>
          <w:szCs w:val="24"/>
          <w:u w:val="single"/>
        </w:rPr>
      </w:pPr>
      <w:r w:rsidRPr="00EB1968">
        <w:rPr>
          <w:b w:val="0"/>
          <w:bCs w:val="0"/>
          <w:kern w:val="0"/>
          <w:sz w:val="24"/>
          <w:szCs w:val="24"/>
          <w:u w:val="single"/>
        </w:rPr>
        <w:t>Controversial 'virginity tests' sold by UK clinics</w:t>
      </w:r>
      <w:r>
        <w:rPr>
          <w:b w:val="0"/>
          <w:bCs w:val="0"/>
          <w:kern w:val="0"/>
          <w:sz w:val="24"/>
          <w:szCs w:val="24"/>
          <w:u w:val="single"/>
        </w:rPr>
        <w:t xml:space="preserve">, </w:t>
      </w:r>
    </w:p>
    <w:p w14:paraId="4529A7F0" w14:textId="1567744E" w:rsidR="00EB1968" w:rsidRDefault="00457092" w:rsidP="007D7659">
      <w:pPr>
        <w:jc w:val="both"/>
        <w:rPr>
          <w:lang w:val="en-US"/>
        </w:rPr>
      </w:pPr>
      <w:hyperlink r:id="rId27" w:history="1">
        <w:r w:rsidR="00EB1968" w:rsidRPr="005072A6">
          <w:rPr>
            <w:rStyle w:val="Hiperhivatkozs"/>
            <w:lang w:val="en-US"/>
          </w:rPr>
          <w:t>https://www.bbc.com/news/newsbeat-55078634</w:t>
        </w:r>
      </w:hyperlink>
    </w:p>
    <w:p w14:paraId="55155B71" w14:textId="1261B66C" w:rsidR="00EB1968" w:rsidRDefault="00EB1968" w:rsidP="007D7659">
      <w:pPr>
        <w:jc w:val="both"/>
        <w:rPr>
          <w:lang w:val="en-US"/>
        </w:rPr>
      </w:pPr>
      <w:r>
        <w:t xml:space="preserve">Virginity Testing Evidence-Based Guiding Note, </w:t>
      </w:r>
      <w:hyperlink r:id="rId28" w:history="1">
        <w:r w:rsidRPr="005072A6">
          <w:rPr>
            <w:rStyle w:val="Hiperhivatkozs"/>
            <w:lang w:val="en-US"/>
          </w:rPr>
          <w:t>https://www.humanitarianresponse.info/sites/www.humanitarianresponse.info/files/documents/files/virginity_testing_eng.pdf</w:t>
        </w:r>
      </w:hyperlink>
    </w:p>
    <w:p w14:paraId="6DF0C1D7" w14:textId="77777777" w:rsidR="00DE00DD" w:rsidRPr="00D359D6" w:rsidRDefault="00DE00DD" w:rsidP="00DE00DD">
      <w:pPr>
        <w:shd w:val="clear" w:color="auto" w:fill="FFFFFF"/>
        <w:jc w:val="both"/>
        <w:textAlignment w:val="baseline"/>
        <w:rPr>
          <w:rFonts w:ascii="Segoe UI" w:hAnsi="Segoe UI" w:cs="Segoe UI"/>
          <w:sz w:val="18"/>
          <w:szCs w:val="18"/>
        </w:rPr>
      </w:pPr>
      <w:r w:rsidRPr="00D359D6">
        <w:t>Eliminating Virginity Testing: An Interagency Statement </w:t>
      </w:r>
    </w:p>
    <w:p w14:paraId="1F396292" w14:textId="77777777" w:rsidR="00DE00DD" w:rsidRDefault="00457092" w:rsidP="00DE00DD">
      <w:pPr>
        <w:jc w:val="both"/>
        <w:rPr>
          <w:u w:val="single"/>
        </w:rPr>
      </w:pPr>
      <w:hyperlink r:id="rId29" w:anchor=":~:text=An%20interagency%20statement&amp;text=As%20shown%20in%20a%20systematic,a%20history%20of%20vaginal%20intercourse" w:tgtFrame="_blank" w:history="1">
        <w:r w:rsidR="00DE00DD" w:rsidRPr="00D359D6">
          <w:rPr>
            <w:u w:val="single"/>
          </w:rPr>
          <w:t>https://www.who.int/reproductivehealth/publications/eliminating-virginity-testing-interagency-statement/en/#:~:text=An%20interagency%20statement&amp;text=As%20shown%20in%20a%20systematic,a%20history%20of%20vaginal%20intercourse</w:t>
        </w:r>
      </w:hyperlink>
    </w:p>
    <w:p w14:paraId="40438A7B" w14:textId="4C637983" w:rsidR="00DE00DD" w:rsidRPr="00DE00DD" w:rsidRDefault="00DE00DD" w:rsidP="00DE00DD">
      <w:pPr>
        <w:shd w:val="clear" w:color="auto" w:fill="FFFFFF"/>
        <w:jc w:val="both"/>
        <w:textAlignment w:val="baseline"/>
      </w:pPr>
      <w:r w:rsidRPr="00DE00DD">
        <w:t xml:space="preserve">Controversial 'virginity tests' sold by UK clinics, </w:t>
      </w:r>
    </w:p>
    <w:p w14:paraId="7A246BA5" w14:textId="77777777" w:rsidR="00DE00DD" w:rsidRPr="00DE00DD" w:rsidRDefault="00457092" w:rsidP="00DE00DD">
      <w:pPr>
        <w:jc w:val="both"/>
        <w:rPr>
          <w:u w:val="single"/>
        </w:rPr>
      </w:pPr>
      <w:hyperlink r:id="rId30" w:history="1">
        <w:r w:rsidR="00DE00DD" w:rsidRPr="00DE00DD">
          <w:t>https://www.bbc.com/news/newsbeat-55078634</w:t>
        </w:r>
      </w:hyperlink>
    </w:p>
    <w:p w14:paraId="62428669" w14:textId="77777777" w:rsidR="00DE00DD" w:rsidRDefault="00DE00DD" w:rsidP="00DE00DD">
      <w:pPr>
        <w:jc w:val="both"/>
      </w:pPr>
      <w:r>
        <w:t xml:space="preserve">Virginity Testing Evidence-Based Guiding Note, </w:t>
      </w:r>
      <w:hyperlink r:id="rId31" w:history="1">
        <w:r w:rsidRPr="005072A6">
          <w:rPr>
            <w:rStyle w:val="Hiperhivatkozs"/>
            <w:rFonts w:eastAsiaTheme="majorEastAsia"/>
          </w:rPr>
          <w:t>https://www.humanitarianresponse.info/sites/www.humanitarianresponse.info/files/documents/files/virginity_testing_eng.pdf</w:t>
        </w:r>
      </w:hyperlink>
    </w:p>
    <w:p w14:paraId="2D2B5285" w14:textId="32D63487" w:rsidR="00DE00DD" w:rsidRDefault="00457092" w:rsidP="00DE00DD">
      <w:pPr>
        <w:jc w:val="both"/>
        <w:rPr>
          <w:rStyle w:val="Hiperhivatkozs"/>
          <w:i/>
        </w:rPr>
      </w:pPr>
      <w:hyperlink r:id="rId32" w:history="1">
        <w:r w:rsidR="00DE00DD" w:rsidRPr="004F7594">
          <w:rPr>
            <w:rStyle w:val="Hiperhivatkozs"/>
            <w:i/>
          </w:rPr>
          <w:t>http://www.whrin.org/wp-content/uploads/2017/10/2017-UNREPORT-final.pdf</w:t>
        </w:r>
      </w:hyperlink>
    </w:p>
    <w:p w14:paraId="399050D2" w14:textId="77777777" w:rsidR="00DE00DD" w:rsidRPr="00DE00DD" w:rsidRDefault="00DE00DD" w:rsidP="00DE00DD">
      <w:pPr>
        <w:shd w:val="clear" w:color="auto" w:fill="FFFFFF"/>
        <w:jc w:val="both"/>
        <w:textAlignment w:val="baseline"/>
      </w:pPr>
      <w:r w:rsidRPr="00DE00DD">
        <w:t>Virginity testing</w:t>
      </w:r>
    </w:p>
    <w:p w14:paraId="70795982" w14:textId="77777777" w:rsidR="00DE00DD" w:rsidRPr="00DE00DD" w:rsidRDefault="00457092" w:rsidP="00DE00DD">
      <w:pPr>
        <w:shd w:val="clear" w:color="auto" w:fill="FFFFFF"/>
        <w:jc w:val="both"/>
        <w:textAlignment w:val="baseline"/>
      </w:pPr>
      <w:hyperlink r:id="rId33" w:history="1">
        <w:r w:rsidR="00DE00DD" w:rsidRPr="00DE00DD">
          <w:t>https://www.who.int/publications/i/item/WHO-RHR-18.15</w:t>
        </w:r>
      </w:hyperlink>
    </w:p>
    <w:p w14:paraId="7A6BCC88" w14:textId="77777777" w:rsidR="00DE00DD" w:rsidRPr="00DE00DD" w:rsidRDefault="00457092" w:rsidP="00DE00DD">
      <w:pPr>
        <w:shd w:val="clear" w:color="auto" w:fill="FFFFFF"/>
        <w:jc w:val="both"/>
        <w:textAlignment w:val="baseline"/>
      </w:pPr>
      <w:hyperlink r:id="rId34" w:history="1">
        <w:r w:rsidR="00DE00DD" w:rsidRPr="00DE00DD">
          <w:t>https://www.acog.org/clinical-information/policy-and-position-statements/statements-of-policy/2020/virginity-testing</w:t>
        </w:r>
      </w:hyperlink>
    </w:p>
    <w:p w14:paraId="14926470" w14:textId="77777777" w:rsidR="00DE00DD" w:rsidRPr="00DE00DD" w:rsidRDefault="00457092" w:rsidP="00DE00DD">
      <w:pPr>
        <w:shd w:val="clear" w:color="auto" w:fill="FFFFFF"/>
        <w:jc w:val="both"/>
        <w:textAlignment w:val="baseline"/>
      </w:pPr>
      <w:hyperlink r:id="rId35" w:history="1">
        <w:r w:rsidR="00DE00DD" w:rsidRPr="00DE00DD">
          <w:t>https://www.humanitarianresponse.info/sites/www.humanitarianresponse.info/files/documents/files/virginity_testing_eng.pdf</w:t>
        </w:r>
      </w:hyperlink>
    </w:p>
    <w:p w14:paraId="4F23C6DF" w14:textId="77777777" w:rsidR="00DE00DD" w:rsidRPr="00DE00DD" w:rsidRDefault="00457092" w:rsidP="00DE00DD">
      <w:pPr>
        <w:shd w:val="clear" w:color="auto" w:fill="FFFFFF"/>
        <w:jc w:val="both"/>
        <w:textAlignment w:val="baseline"/>
      </w:pPr>
      <w:hyperlink r:id="rId36" w:history="1">
        <w:r w:rsidR="00DE00DD" w:rsidRPr="00DE00DD">
          <w:t>https://www.bbc.com/news/newsbeat-55078634</w:t>
        </w:r>
      </w:hyperlink>
    </w:p>
    <w:p w14:paraId="2A913CF8" w14:textId="77777777" w:rsidR="00DE00DD" w:rsidRPr="00DE00DD" w:rsidRDefault="00DE00DD" w:rsidP="00DE00DD">
      <w:pPr>
        <w:shd w:val="clear" w:color="auto" w:fill="FFFFFF"/>
        <w:jc w:val="both"/>
        <w:textAlignment w:val="baseline"/>
      </w:pPr>
      <w:r w:rsidRPr="00DE00DD">
        <w:t>https://uk.moyens.net/football/ronaldos-girlfriend-undergoes-surgery-restore-her-virginity-she-prepares-for/</w:t>
      </w:r>
    </w:p>
    <w:p w14:paraId="7AD9D1B1" w14:textId="77777777" w:rsidR="00EB1968" w:rsidRDefault="00EB1968" w:rsidP="007D7659">
      <w:pPr>
        <w:jc w:val="both"/>
        <w:rPr>
          <w:lang w:val="en-US"/>
        </w:rPr>
      </w:pPr>
    </w:p>
    <w:p w14:paraId="638683FC" w14:textId="068AA4A8" w:rsidR="004C1507" w:rsidRPr="00DE00DD" w:rsidRDefault="00B03CB5" w:rsidP="00DE00DD">
      <w:pPr>
        <w:pStyle w:val="Listaszerbekezds"/>
        <w:ind w:left="1260"/>
        <w:jc w:val="both"/>
        <w:rPr>
          <w:b/>
          <w:highlight w:val="darkGray"/>
          <w:lang w:val="en-US"/>
        </w:rPr>
      </w:pPr>
      <w:r w:rsidRPr="00DE00DD">
        <w:rPr>
          <w:b/>
          <w:highlight w:val="darkGray"/>
          <w:lang w:val="en-US"/>
        </w:rPr>
        <w:t>Presentations</w:t>
      </w:r>
    </w:p>
    <w:p w14:paraId="11762D78" w14:textId="77777777" w:rsidR="00D359D6" w:rsidRPr="00364FD2" w:rsidRDefault="00D359D6" w:rsidP="00364FD2">
      <w:pPr>
        <w:pStyle w:val="Listaszerbekezds"/>
        <w:numPr>
          <w:ilvl w:val="0"/>
          <w:numId w:val="30"/>
        </w:numPr>
        <w:jc w:val="both"/>
        <w:rPr>
          <w:b/>
          <w:highlight w:val="darkGray"/>
          <w:lang w:val="en-US"/>
        </w:rPr>
      </w:pPr>
      <w:r w:rsidRPr="00364FD2">
        <w:rPr>
          <w:b/>
          <w:highlight w:val="darkGray"/>
          <w:lang w:val="en-US"/>
        </w:rPr>
        <w:t>Bideault v. France</w:t>
      </w:r>
    </w:p>
    <w:p w14:paraId="5322E53F" w14:textId="4623EC59" w:rsidR="00B03CB5" w:rsidRPr="00DE00DD" w:rsidRDefault="00CA188A" w:rsidP="00364FD2">
      <w:pPr>
        <w:pStyle w:val="Listaszerbekezds"/>
        <w:numPr>
          <w:ilvl w:val="0"/>
          <w:numId w:val="30"/>
        </w:numPr>
        <w:jc w:val="both"/>
        <w:rPr>
          <w:b/>
          <w:highlight w:val="darkGray"/>
          <w:lang w:val="en-US"/>
        </w:rPr>
      </w:pPr>
      <w:r w:rsidRPr="00DE00DD">
        <w:rPr>
          <w:b/>
          <w:highlight w:val="darkGray"/>
          <w:lang w:val="en-US"/>
        </w:rPr>
        <w:t xml:space="preserve">contextualize the Kymlicka-Moller-Sassen-debate through the </w:t>
      </w:r>
      <w:r w:rsidR="00B03CB5" w:rsidRPr="00DE00DD">
        <w:rPr>
          <w:b/>
          <w:highlight w:val="darkGray"/>
          <w:lang w:val="en-US"/>
        </w:rPr>
        <w:t>harmful traditional practice</w:t>
      </w:r>
      <w:r w:rsidR="007D7659" w:rsidRPr="00DE00DD">
        <w:rPr>
          <w:b/>
          <w:highlight w:val="darkGray"/>
          <w:lang w:val="en-US"/>
        </w:rPr>
        <w:t xml:space="preserve"> of</w:t>
      </w:r>
      <w:r w:rsidR="00B03CB5" w:rsidRPr="00DE00DD">
        <w:rPr>
          <w:b/>
          <w:highlight w:val="darkGray"/>
          <w:lang w:val="en-US"/>
        </w:rPr>
        <w:t xml:space="preserve"> virginity testing</w:t>
      </w:r>
    </w:p>
    <w:p w14:paraId="4C8DB54E" w14:textId="53F42334" w:rsidR="004C1507" w:rsidRPr="00364FD2" w:rsidRDefault="004C1507" w:rsidP="00364FD2">
      <w:pPr>
        <w:pStyle w:val="Listaszerbekezds"/>
        <w:ind w:left="1260"/>
        <w:jc w:val="both"/>
        <w:rPr>
          <w:highlight w:val="darkGray"/>
          <w:lang w:val="en-US"/>
        </w:rPr>
      </w:pPr>
    </w:p>
    <w:p w14:paraId="64B8A0DC" w14:textId="77777777" w:rsidR="00DE00DD" w:rsidRPr="00EB0931" w:rsidRDefault="00DE00DD" w:rsidP="00DE00DD">
      <w:pPr>
        <w:rPr>
          <w:b/>
          <w:lang w:val="en-US"/>
        </w:rPr>
      </w:pPr>
      <w:r w:rsidRPr="00877C37">
        <w:rPr>
          <w:b/>
        </w:rPr>
        <w:t xml:space="preserve">Class 4. October 11. </w:t>
      </w:r>
      <w:r w:rsidRPr="00EB0931">
        <w:rPr>
          <w:b/>
          <w:lang w:val="en-US"/>
        </w:rPr>
        <w:t xml:space="preserve">Race, ethnicity, nationality, religion; identity and classification: Definition-making and data processing </w:t>
      </w:r>
    </w:p>
    <w:p w14:paraId="71D73ECF" w14:textId="77777777" w:rsidR="00B439DA" w:rsidRPr="00253B87" w:rsidRDefault="00B439DA" w:rsidP="00B439DA">
      <w:pPr>
        <w:shd w:val="clear" w:color="auto" w:fill="FFFFFF"/>
        <w:jc w:val="both"/>
        <w:textAlignment w:val="baseline"/>
        <w:rPr>
          <w:rFonts w:ascii="Segoe UI" w:hAnsi="Segoe UI" w:cs="Segoe UI"/>
          <w:sz w:val="18"/>
          <w:szCs w:val="18"/>
        </w:rPr>
      </w:pPr>
      <w:r w:rsidRPr="00253B87">
        <w:rPr>
          <w:i/>
          <w:iCs/>
          <w:u w:val="single"/>
        </w:rPr>
        <w:t>Reading</w:t>
      </w:r>
      <w:r w:rsidRPr="00253B87">
        <w:t> </w:t>
      </w:r>
    </w:p>
    <w:p w14:paraId="2876E50C" w14:textId="606E64BF" w:rsidR="00253B87" w:rsidRDefault="00253B87" w:rsidP="00253B87">
      <w:pPr>
        <w:jc w:val="both"/>
        <w:rPr>
          <w:lang w:val="en-US"/>
        </w:rPr>
      </w:pPr>
      <w:r w:rsidRPr="00253B87">
        <w:rPr>
          <w:lang w:val="en-US"/>
        </w:rPr>
        <w:t>András L. Pap:  Murphy’s law on the free choice of identity? Legal and political difficulties in defining minority communities and membership boundaries, Columbia Human Rights Law Review</w:t>
      </w:r>
    </w:p>
    <w:p w14:paraId="061BE3DC" w14:textId="7F836C64" w:rsidR="00287EAB" w:rsidRPr="00253B87" w:rsidRDefault="00287EAB" w:rsidP="00253B87">
      <w:pPr>
        <w:jc w:val="both"/>
        <w:rPr>
          <w:lang w:val="en-US"/>
        </w:rPr>
      </w:pPr>
      <w:r w:rsidRPr="00287EAB">
        <w:rPr>
          <w:lang w:val="en-US"/>
        </w:rPr>
        <w:t>https://privpapers.ssrn.com/sol3/cf_dev/AbsByAuth.cfm?per_id=2170812</w:t>
      </w:r>
    </w:p>
    <w:p w14:paraId="4B5F48F6" w14:textId="2FE1EF46" w:rsidR="00253B87" w:rsidRPr="00253B87" w:rsidRDefault="00253B87" w:rsidP="00253B87">
      <w:pPr>
        <w:shd w:val="clear" w:color="auto" w:fill="FFFFFF"/>
        <w:jc w:val="both"/>
        <w:textAlignment w:val="baseline"/>
        <w:rPr>
          <w:rFonts w:ascii="Segoe UI" w:hAnsi="Segoe UI" w:cs="Segoe UI"/>
          <w:sz w:val="18"/>
          <w:szCs w:val="18"/>
        </w:rPr>
      </w:pPr>
      <w:r w:rsidRPr="00253B87">
        <w:rPr>
          <w:i/>
          <w:iCs/>
          <w:u w:val="single"/>
        </w:rPr>
        <w:lastRenderedPageBreak/>
        <w:t>R</w:t>
      </w:r>
      <w:r>
        <w:rPr>
          <w:i/>
          <w:iCs/>
          <w:u w:val="single"/>
        </w:rPr>
        <w:t>ecommended r</w:t>
      </w:r>
      <w:r w:rsidRPr="00253B87">
        <w:rPr>
          <w:i/>
          <w:iCs/>
          <w:u w:val="single"/>
        </w:rPr>
        <w:t>eading</w:t>
      </w:r>
      <w:r w:rsidRPr="00253B87">
        <w:t> </w:t>
      </w:r>
    </w:p>
    <w:p w14:paraId="69918EEC" w14:textId="77777777" w:rsidR="00B439DA" w:rsidRPr="00253B87" w:rsidRDefault="00B439DA" w:rsidP="00B439DA">
      <w:pPr>
        <w:shd w:val="clear" w:color="auto" w:fill="FFFFFF"/>
        <w:jc w:val="both"/>
        <w:textAlignment w:val="baseline"/>
        <w:rPr>
          <w:rFonts w:ascii="Segoe UI" w:hAnsi="Segoe UI" w:cs="Segoe UI"/>
          <w:sz w:val="18"/>
          <w:szCs w:val="18"/>
        </w:rPr>
      </w:pPr>
      <w:r w:rsidRPr="00253B87">
        <w:t>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
    <w:p w14:paraId="1024DA2A" w14:textId="01483889" w:rsidR="00B439DA" w:rsidRDefault="00457092" w:rsidP="00B439DA">
      <w:pPr>
        <w:shd w:val="clear" w:color="auto" w:fill="FFFFFF"/>
        <w:jc w:val="both"/>
        <w:textAlignment w:val="baseline"/>
      </w:pPr>
      <w:hyperlink r:id="rId37" w:tgtFrame="_blank" w:history="1">
        <w:r w:rsidR="00B439DA" w:rsidRPr="00253B87">
          <w:rPr>
            <w:u w:val="single"/>
          </w:rPr>
          <w:t>https://eur-lex.europa.eu/eli/reg/2016/679/oj</w:t>
        </w:r>
      </w:hyperlink>
      <w:r w:rsidR="00B439DA" w:rsidRPr="00253B87">
        <w:t> </w:t>
      </w:r>
    </w:p>
    <w:p w14:paraId="01BFB500" w14:textId="77777777" w:rsidR="00253B87" w:rsidRPr="00253B87" w:rsidRDefault="00253B87" w:rsidP="00253B87">
      <w:pPr>
        <w:jc w:val="both"/>
        <w:rPr>
          <w:lang w:val="en-US"/>
        </w:rPr>
      </w:pPr>
      <w:r w:rsidRPr="00253B87">
        <w:rPr>
          <w:lang w:val="en-US"/>
        </w:rPr>
        <w:t>Oshea v. The City of San Francisco</w:t>
      </w:r>
    </w:p>
    <w:p w14:paraId="328F7C6B" w14:textId="17D1A18E" w:rsidR="00253B87" w:rsidRDefault="00457092" w:rsidP="00253B87">
      <w:pPr>
        <w:shd w:val="clear" w:color="auto" w:fill="FFFFFF"/>
        <w:jc w:val="both"/>
        <w:textAlignment w:val="baseline"/>
      </w:pPr>
      <w:hyperlink r:id="rId38" w:history="1">
        <w:r w:rsidR="00253B87" w:rsidRPr="006A677F">
          <w:rPr>
            <w:rStyle w:val="Hiperhivatkozs"/>
          </w:rPr>
          <w:t>https://www.ravellaw.com/opinions/a909c072e5e43b56a45e7158b726f696</w:t>
        </w:r>
      </w:hyperlink>
    </w:p>
    <w:p w14:paraId="2D4772ED" w14:textId="38DF0E9A" w:rsidR="00B439DA" w:rsidRPr="00253B87" w:rsidRDefault="00B439DA" w:rsidP="00B439DA">
      <w:pPr>
        <w:jc w:val="both"/>
        <w:rPr>
          <w:lang w:val="en-US"/>
        </w:rPr>
      </w:pPr>
      <w:r w:rsidRPr="00253B87">
        <w:rPr>
          <w:lang w:val="en-US"/>
        </w:rPr>
        <w:t>Patrick Simon: „Ethnic” statistics and data protection in the Council of Europe countries. Study Report. Institut National d’Etudes Demographiques Strasbourg, 2007</w:t>
      </w:r>
    </w:p>
    <w:p w14:paraId="4827B72B" w14:textId="471E292D" w:rsidR="007E31A8" w:rsidRDefault="00457092" w:rsidP="00B439DA">
      <w:pPr>
        <w:rPr>
          <w:lang w:val="en-US"/>
        </w:rPr>
      </w:pPr>
      <w:hyperlink r:id="rId39" w:history="1">
        <w:r w:rsidR="007E31A8" w:rsidRPr="006A677F">
          <w:rPr>
            <w:rStyle w:val="Hiperhivatkozs"/>
            <w:lang w:val="en-US"/>
          </w:rPr>
          <w:t>https://ec.europa.eu/migrant-integration/librarydoc/ethnic-statistics-and-data-protection-in-the-council-of-europe-countries-a-study-report</w:t>
        </w:r>
      </w:hyperlink>
    </w:p>
    <w:p w14:paraId="2910C8FD" w14:textId="0D9C81AE" w:rsidR="00B439DA" w:rsidRPr="00253B87" w:rsidRDefault="00B439DA" w:rsidP="00B439DA">
      <w:pPr>
        <w:rPr>
          <w:lang w:val="en-US"/>
        </w:rPr>
      </w:pPr>
      <w:r w:rsidRPr="00253B87">
        <w:rPr>
          <w:lang w:val="en-US"/>
        </w:rPr>
        <w:t>Rogers Brubaker (2015): The Dolezal affair: race, gender, and the</w:t>
      </w:r>
    </w:p>
    <w:p w14:paraId="03FB520E" w14:textId="77777777" w:rsidR="00B439DA" w:rsidRPr="00253B87" w:rsidRDefault="00B439DA" w:rsidP="00B439DA">
      <w:pPr>
        <w:rPr>
          <w:lang w:val="en-US"/>
        </w:rPr>
      </w:pPr>
      <w:r w:rsidRPr="00253B87">
        <w:rPr>
          <w:lang w:val="en-US"/>
        </w:rPr>
        <w:t>micropolitics of identity, Ethnic and Racial Studies, DOI: 10.1080/01419870.2015.1084430</w:t>
      </w:r>
    </w:p>
    <w:p w14:paraId="3BBB7E8D" w14:textId="77777777" w:rsidR="007E31A8" w:rsidRDefault="007E31A8" w:rsidP="00B439DA">
      <w:pPr>
        <w:rPr>
          <w:lang w:val="en-US"/>
        </w:rPr>
      </w:pPr>
      <w:r w:rsidRPr="007E31A8">
        <w:rPr>
          <w:lang w:val="en-US"/>
        </w:rPr>
        <w:t xml:space="preserve">https://www.tandfonline.com/doi/abs/10.1080/01419870.2015.1084430?journalCode=rers20 </w:t>
      </w:r>
    </w:p>
    <w:p w14:paraId="5B8782C7" w14:textId="355C948C" w:rsidR="00B439DA" w:rsidRPr="00253B87" w:rsidRDefault="00B439DA" w:rsidP="00B439DA">
      <w:pPr>
        <w:rPr>
          <w:lang w:val="en-US"/>
        </w:rPr>
      </w:pPr>
      <w:r w:rsidRPr="00253B87">
        <w:rPr>
          <w:lang w:val="en-US"/>
        </w:rPr>
        <w:t>Anthony R. Enriquez: Assuming responsibility for who you are: the right to choose “immutable” identity characteristics</w:t>
      </w:r>
    </w:p>
    <w:p w14:paraId="1AEB6BD3" w14:textId="6569DBD5" w:rsidR="007E31A8" w:rsidRDefault="00457092" w:rsidP="00B439DA">
      <w:pPr>
        <w:jc w:val="both"/>
        <w:rPr>
          <w:lang w:val="en-US"/>
        </w:rPr>
      </w:pPr>
      <w:hyperlink r:id="rId40" w:history="1">
        <w:r w:rsidR="007E31A8" w:rsidRPr="006A677F">
          <w:rPr>
            <w:rStyle w:val="Hiperhivatkozs"/>
            <w:lang w:val="en-US"/>
          </w:rPr>
          <w:t>https://www.nyulawreview.org/issues/volume-88-number-1/assuming-responsibility-for-who-you-are-the-right-to-choose-immutable-identity-characteristics/</w:t>
        </w:r>
      </w:hyperlink>
    </w:p>
    <w:p w14:paraId="3A44E0CD" w14:textId="4D45A44A" w:rsidR="00B439DA" w:rsidRPr="00253B87" w:rsidRDefault="00B439DA" w:rsidP="00B439DA">
      <w:pPr>
        <w:jc w:val="both"/>
        <w:rPr>
          <w:lang w:val="en-US"/>
        </w:rPr>
      </w:pPr>
      <w:r w:rsidRPr="00253B87">
        <w:rPr>
          <w:lang w:val="en-US"/>
        </w:rPr>
        <w:t>Camille Gear Rich: Elective Race: Recognizing Race Discrimination in</w:t>
      </w:r>
      <w:r w:rsidR="007E31A8">
        <w:rPr>
          <w:lang w:val="en-US"/>
        </w:rPr>
        <w:t xml:space="preserve"> </w:t>
      </w:r>
      <w:r w:rsidRPr="00253B87">
        <w:rPr>
          <w:lang w:val="en-US"/>
        </w:rPr>
        <w:t>the Era of Racial Self-Identification</w:t>
      </w:r>
    </w:p>
    <w:p w14:paraId="656342F8" w14:textId="6719D41E" w:rsidR="007E31A8" w:rsidRDefault="00457092" w:rsidP="00B439DA">
      <w:pPr>
        <w:jc w:val="both"/>
        <w:rPr>
          <w:lang w:val="en-US"/>
        </w:rPr>
      </w:pPr>
      <w:hyperlink r:id="rId41" w:history="1">
        <w:r w:rsidR="007E31A8" w:rsidRPr="006A677F">
          <w:rPr>
            <w:rStyle w:val="Hiperhivatkozs"/>
            <w:lang w:val="en-US"/>
          </w:rPr>
          <w:t>https://papers.ssrn.com/sol3/papers.cfm?abstract_id=2506379</w:t>
        </w:r>
      </w:hyperlink>
    </w:p>
    <w:p w14:paraId="7F70F6F4" w14:textId="0B6CBB8A" w:rsidR="00B439DA" w:rsidRPr="00253B87" w:rsidRDefault="00B439DA" w:rsidP="00B439DA">
      <w:pPr>
        <w:jc w:val="both"/>
        <w:rPr>
          <w:lang w:val="en-US"/>
        </w:rPr>
      </w:pPr>
      <w:r w:rsidRPr="00253B87">
        <w:rPr>
          <w:lang w:val="en-US"/>
        </w:rPr>
        <w:t xml:space="preserve">Tseming Yang: Choice and Fraud in Racial Identification: The Dilemma of Policing Race in Affirmative Action, the Census, and a Color-Blind Society </w:t>
      </w:r>
    </w:p>
    <w:p w14:paraId="44FAA6FF" w14:textId="77777777" w:rsidR="007E31A8" w:rsidRDefault="007E31A8" w:rsidP="00B439DA">
      <w:pPr>
        <w:rPr>
          <w:lang w:val="en-US"/>
        </w:rPr>
      </w:pPr>
      <w:r w:rsidRPr="007E31A8">
        <w:rPr>
          <w:lang w:val="en-US"/>
        </w:rPr>
        <w:t xml:space="preserve">https://repository.law.umich.edu/mjrl/vol11/iss2/3/ </w:t>
      </w:r>
    </w:p>
    <w:p w14:paraId="2BBEF0B8" w14:textId="52EF64CB" w:rsidR="00B439DA" w:rsidRPr="00253B87" w:rsidRDefault="00B439DA" w:rsidP="00B439DA">
      <w:pPr>
        <w:rPr>
          <w:lang w:val="en-US"/>
        </w:rPr>
      </w:pPr>
      <w:r w:rsidRPr="00253B87">
        <w:rPr>
          <w:lang w:val="en-US"/>
        </w:rPr>
        <w:t>Jessica Clarke: Against Immutability, Yale Law Journal, 125:2 2015</w:t>
      </w:r>
    </w:p>
    <w:p w14:paraId="479D0376" w14:textId="77777777" w:rsidR="007E31A8" w:rsidRDefault="007E31A8" w:rsidP="00B439DA">
      <w:pPr>
        <w:rPr>
          <w:lang w:val="en-US"/>
        </w:rPr>
      </w:pPr>
      <w:r w:rsidRPr="007E31A8">
        <w:rPr>
          <w:lang w:val="en-US"/>
        </w:rPr>
        <w:t xml:space="preserve">https://www.yalelawjournal.org/article/against-immutability </w:t>
      </w:r>
    </w:p>
    <w:p w14:paraId="5DE4C4BE" w14:textId="77777777" w:rsidR="007E31A8" w:rsidRPr="007E31A8" w:rsidRDefault="007E31A8" w:rsidP="007E31A8">
      <w:pPr>
        <w:shd w:val="clear" w:color="auto" w:fill="FFFFFF"/>
        <w:textAlignment w:val="baseline"/>
        <w:rPr>
          <w:rFonts w:ascii="Segoe UI" w:hAnsi="Segoe UI" w:cs="Segoe UI"/>
          <w:sz w:val="18"/>
          <w:szCs w:val="18"/>
        </w:rPr>
      </w:pPr>
      <w:r w:rsidRPr="007E31A8">
        <w:t>Suzie Navot: A new chapter in Israel’s “constitution”: Israel as the Nation State of the Jewish People </w:t>
      </w:r>
    </w:p>
    <w:p w14:paraId="2C5C8ECE" w14:textId="77777777" w:rsidR="007E31A8" w:rsidRPr="007E31A8" w:rsidRDefault="00457092" w:rsidP="007E31A8">
      <w:pPr>
        <w:shd w:val="clear" w:color="auto" w:fill="FFFFFF"/>
        <w:textAlignment w:val="baseline"/>
        <w:rPr>
          <w:rFonts w:ascii="Segoe UI" w:hAnsi="Segoe UI" w:cs="Segoe UI"/>
          <w:sz w:val="18"/>
          <w:szCs w:val="18"/>
        </w:rPr>
      </w:pPr>
      <w:hyperlink r:id="rId42" w:tgtFrame="_blank" w:history="1">
        <w:r w:rsidR="007E31A8" w:rsidRPr="007E31A8">
          <w:t>verfassungsblog.de/a-new-chapter-in-israels-constitution-israel-as-the-nation-state-of-the-jewish-people/</w:t>
        </w:r>
      </w:hyperlink>
      <w:r w:rsidR="007E31A8" w:rsidRPr="007E31A8">
        <w:t> </w:t>
      </w:r>
    </w:p>
    <w:p w14:paraId="16EDFA96" w14:textId="77777777" w:rsidR="00B439DA" w:rsidRPr="00CD34EF" w:rsidRDefault="00B439DA" w:rsidP="00B439DA">
      <w:pPr>
        <w:rPr>
          <w:lang w:val="en-US"/>
        </w:rPr>
      </w:pPr>
    </w:p>
    <w:p w14:paraId="42B31180" w14:textId="77777777" w:rsidR="00B439DA" w:rsidRPr="00F6065C" w:rsidRDefault="00B439DA" w:rsidP="00B439DA">
      <w:pPr>
        <w:jc w:val="both"/>
        <w:rPr>
          <w:b/>
          <w:highlight w:val="darkGray"/>
          <w:lang w:val="en-US"/>
        </w:rPr>
      </w:pPr>
      <w:r w:rsidRPr="00F6065C">
        <w:rPr>
          <w:b/>
          <w:highlight w:val="darkGray"/>
          <w:lang w:val="en-US"/>
        </w:rPr>
        <w:t>Presentations:</w:t>
      </w:r>
    </w:p>
    <w:p w14:paraId="3B51CB28" w14:textId="274C2C1F" w:rsidR="00253B87" w:rsidRPr="00DE00DD" w:rsidRDefault="00287EAB" w:rsidP="00DE00DD">
      <w:pPr>
        <w:numPr>
          <w:ilvl w:val="0"/>
          <w:numId w:val="30"/>
        </w:numPr>
        <w:jc w:val="both"/>
        <w:rPr>
          <w:b/>
          <w:highlight w:val="darkGray"/>
          <w:lang w:val="en-US"/>
        </w:rPr>
      </w:pPr>
      <w:r w:rsidRPr="00534978">
        <w:rPr>
          <w:b/>
          <w:highlight w:val="darkGray"/>
          <w:lang w:val="en-US"/>
        </w:rPr>
        <w:t>T</w:t>
      </w:r>
      <w:r w:rsidR="007E31A8" w:rsidRPr="00534978">
        <w:rPr>
          <w:b/>
          <w:highlight w:val="darkGray"/>
          <w:lang w:val="en-US"/>
        </w:rPr>
        <w:t>he Europe</w:t>
      </w:r>
      <w:r w:rsidR="00534978" w:rsidRPr="00534978">
        <w:rPr>
          <w:b/>
          <w:highlight w:val="darkGray"/>
          <w:lang w:val="en-US"/>
        </w:rPr>
        <w:t>an data protection legal regime</w:t>
      </w:r>
      <w:r w:rsidR="00534978" w:rsidRPr="00DE00DD">
        <w:rPr>
          <w:b/>
          <w:highlight w:val="darkGray"/>
          <w:lang w:val="en-US"/>
        </w:rPr>
        <w:t xml:space="preserve">, + </w:t>
      </w:r>
      <w:r w:rsidR="00253B87" w:rsidRPr="00DE00DD">
        <w:rPr>
          <w:b/>
          <w:highlight w:val="darkGray"/>
          <w:lang w:val="en-US"/>
        </w:rPr>
        <w:t xml:space="preserve">Is the </w:t>
      </w:r>
      <w:r w:rsidR="007E31A8" w:rsidRPr="00DE00DD">
        <w:rPr>
          <w:b/>
          <w:highlight w:val="darkGray"/>
          <w:lang w:val="en-US"/>
        </w:rPr>
        <w:t xml:space="preserve">Sandler </w:t>
      </w:r>
      <w:r w:rsidR="00253B87" w:rsidRPr="00DE00DD">
        <w:rPr>
          <w:b/>
          <w:highlight w:val="darkGray"/>
          <w:lang w:val="en-US"/>
        </w:rPr>
        <w:t>video in violation of data protection norms? </w:t>
      </w:r>
      <w:r w:rsidR="00534978" w:rsidRPr="00DE00DD">
        <w:rPr>
          <w:b/>
          <w:highlight w:val="darkGray"/>
          <w:lang w:val="en-US"/>
        </w:rPr>
        <w:t>(https://www.youtube.com/watch?v=6YSOZP_M6eM)</w:t>
      </w:r>
    </w:p>
    <w:p w14:paraId="16402094" w14:textId="01897578" w:rsidR="00982524" w:rsidRPr="00DE00DD" w:rsidRDefault="00EB0931" w:rsidP="00DE00DD">
      <w:pPr>
        <w:numPr>
          <w:ilvl w:val="0"/>
          <w:numId w:val="30"/>
        </w:numPr>
        <w:jc w:val="both"/>
        <w:rPr>
          <w:b/>
          <w:highlight w:val="darkGray"/>
          <w:lang w:val="en-US"/>
        </w:rPr>
      </w:pPr>
      <w:r w:rsidRPr="00DE00DD">
        <w:rPr>
          <w:b/>
          <w:highlight w:val="darkGray"/>
          <w:lang w:val="en-US"/>
        </w:rPr>
        <w:t>Ethnicity in the census</w:t>
      </w:r>
    </w:p>
    <w:p w14:paraId="6378ECA9" w14:textId="316CA608" w:rsidR="00B439DA" w:rsidRPr="00F6065C" w:rsidRDefault="00EB0931" w:rsidP="00DE00DD">
      <w:pPr>
        <w:numPr>
          <w:ilvl w:val="0"/>
          <w:numId w:val="30"/>
        </w:numPr>
        <w:jc w:val="both"/>
        <w:rPr>
          <w:b/>
          <w:highlight w:val="darkGray"/>
          <w:lang w:val="en-US"/>
        </w:rPr>
      </w:pPr>
      <w:r>
        <w:rPr>
          <w:b/>
          <w:highlight w:val="darkGray"/>
          <w:lang w:val="en-US"/>
        </w:rPr>
        <w:t xml:space="preserve">The </w:t>
      </w:r>
      <w:r w:rsidR="00B439DA" w:rsidRPr="00F6065C">
        <w:rPr>
          <w:b/>
          <w:highlight w:val="darkGray"/>
          <w:lang w:val="en-US"/>
        </w:rPr>
        <w:t>fluidity of ethnic affiliation in light of the Dolezal and the Irish firefighter (Oshea) cases</w:t>
      </w:r>
    </w:p>
    <w:p w14:paraId="5D33B217" w14:textId="5E9CD216" w:rsidR="007E31A8" w:rsidRPr="00DE00DD" w:rsidRDefault="007E31A8" w:rsidP="00DE00DD">
      <w:pPr>
        <w:numPr>
          <w:ilvl w:val="0"/>
          <w:numId w:val="30"/>
        </w:numPr>
        <w:jc w:val="both"/>
        <w:rPr>
          <w:b/>
          <w:highlight w:val="darkGray"/>
          <w:lang w:val="en-US"/>
        </w:rPr>
      </w:pPr>
      <w:r w:rsidRPr="00DE00DD">
        <w:rPr>
          <w:b/>
          <w:highlight w:val="darkGray"/>
          <w:lang w:val="en-US"/>
        </w:rPr>
        <w:t>The Jews and Israel: race, ethnicity, nationality (law of return, nation state law)</w:t>
      </w:r>
    </w:p>
    <w:p w14:paraId="55A7B53B" w14:textId="77777777" w:rsidR="00982524" w:rsidRPr="00DE00DD" w:rsidRDefault="00982524" w:rsidP="00DE00DD">
      <w:pPr>
        <w:ind w:left="540"/>
        <w:jc w:val="both"/>
        <w:rPr>
          <w:b/>
          <w:highlight w:val="darkGray"/>
          <w:lang w:val="en-US"/>
        </w:rPr>
      </w:pPr>
    </w:p>
    <w:p w14:paraId="13AACF97" w14:textId="77777777" w:rsidR="00DE00DD" w:rsidRPr="001848CE" w:rsidRDefault="00DE00DD" w:rsidP="00DE00DD">
      <w:pPr>
        <w:rPr>
          <w:b/>
          <w:lang w:val="en-US"/>
        </w:rPr>
      </w:pPr>
      <w:r w:rsidRPr="00BC0997">
        <w:rPr>
          <w:b/>
        </w:rPr>
        <w:t>Class 5. October 18</w:t>
      </w:r>
      <w:r>
        <w:rPr>
          <w:b/>
        </w:rPr>
        <w:t>.</w:t>
      </w:r>
      <w:r w:rsidRPr="00BC0997">
        <w:rPr>
          <w:b/>
        </w:rPr>
        <w:t xml:space="preserve"> </w:t>
      </w:r>
      <w:r w:rsidRPr="001848CE">
        <w:rPr>
          <w:b/>
          <w:lang w:val="en-US"/>
        </w:rPr>
        <w:t xml:space="preserve">Equality and discrimination: The morphology of discrimination, concepts and institutional responses.  </w:t>
      </w:r>
    </w:p>
    <w:p w14:paraId="3B139E38" w14:textId="77777777" w:rsidR="00B20C27" w:rsidRDefault="00B20C27" w:rsidP="00B20C27">
      <w:pPr>
        <w:jc w:val="both"/>
        <w:rPr>
          <w:i/>
          <w:iCs/>
          <w:lang w:val="en-US"/>
        </w:rPr>
      </w:pPr>
      <w:r w:rsidRPr="00CD34EF">
        <w:rPr>
          <w:i/>
          <w:iCs/>
          <w:lang w:val="en-US"/>
        </w:rPr>
        <w:t>Re</w:t>
      </w:r>
      <w:r>
        <w:rPr>
          <w:i/>
          <w:iCs/>
          <w:lang w:val="en-US"/>
        </w:rPr>
        <w:t>adings</w:t>
      </w:r>
    </w:p>
    <w:p w14:paraId="66448D98" w14:textId="0FC75D58" w:rsidR="005A521B" w:rsidRDefault="005A521B" w:rsidP="008B37F8">
      <w:pPr>
        <w:jc w:val="both"/>
        <w:rPr>
          <w:lang w:val="en-US"/>
        </w:rPr>
      </w:pPr>
      <w:r w:rsidRPr="00CD34EF">
        <w:rPr>
          <w:lang w:val="en-US"/>
        </w:rPr>
        <w:t>Council Directive 2000/43/EC of 29 June 2000 implementing the principle of equal treatment between persons irrespective of racial or ethnic origin</w:t>
      </w:r>
    </w:p>
    <w:p w14:paraId="6E54BEF3" w14:textId="429E4773" w:rsidR="00B20C27" w:rsidRPr="00CD34EF" w:rsidRDefault="00B20C27" w:rsidP="008B37F8">
      <w:pPr>
        <w:jc w:val="both"/>
        <w:rPr>
          <w:lang w:val="en-US"/>
        </w:rPr>
      </w:pPr>
      <w:r w:rsidRPr="00B20C27">
        <w:rPr>
          <w:lang w:val="en-US"/>
        </w:rPr>
        <w:t>https://eur-lex.europa.eu/legal-content/en/TXT/?uri=CELEX%3A32000L0043</w:t>
      </w:r>
    </w:p>
    <w:p w14:paraId="6EF8EC56" w14:textId="7514BCE5" w:rsidR="005A521B" w:rsidRDefault="005A521B" w:rsidP="008B37F8">
      <w:pPr>
        <w:jc w:val="both"/>
        <w:rPr>
          <w:lang w:val="en-US"/>
        </w:rPr>
      </w:pPr>
      <w:r w:rsidRPr="00CD34EF">
        <w:rPr>
          <w:lang w:val="en-US"/>
        </w:rPr>
        <w:t xml:space="preserve">McCrudden, Cristopher: Thinking about the Discrimination Directives, European Anti-Discrimination Law Review no. 1 (April 2005) pp. 17–21. </w:t>
      </w:r>
    </w:p>
    <w:p w14:paraId="379F9BAC" w14:textId="58622EB0" w:rsidR="00B20C27" w:rsidRPr="00CD34EF" w:rsidRDefault="00B20C27" w:rsidP="008B37F8">
      <w:pPr>
        <w:jc w:val="both"/>
        <w:rPr>
          <w:lang w:val="en-US"/>
        </w:rPr>
      </w:pPr>
      <w:r w:rsidRPr="00B20C27">
        <w:rPr>
          <w:lang w:val="en-US"/>
        </w:rPr>
        <w:lastRenderedPageBreak/>
        <w:t>https://www.migpolgroup.com/_old/public/docs/39.EuropeanAnti-discriminationLawReview-Issue1_EN_04.05.pdf</w:t>
      </w:r>
    </w:p>
    <w:p w14:paraId="7AA99C16" w14:textId="10E488AF" w:rsidR="00B20C27" w:rsidRPr="00CD34EF" w:rsidRDefault="00B20C27" w:rsidP="00B20C27">
      <w:pPr>
        <w:jc w:val="both"/>
        <w:rPr>
          <w:lang w:val="en-US"/>
        </w:rPr>
      </w:pPr>
      <w:r w:rsidRPr="00CD34EF">
        <w:rPr>
          <w:i/>
          <w:iCs/>
          <w:lang w:val="en-US"/>
        </w:rPr>
        <w:t>Recommended</w:t>
      </w:r>
      <w:r>
        <w:rPr>
          <w:lang w:val="en-US"/>
        </w:rPr>
        <w:t xml:space="preserve"> </w:t>
      </w:r>
      <w:r w:rsidR="00E9239B" w:rsidRPr="00E9239B">
        <w:rPr>
          <w:i/>
          <w:iCs/>
          <w:lang w:val="en-US"/>
        </w:rPr>
        <w:t>readings</w:t>
      </w:r>
    </w:p>
    <w:p w14:paraId="5E8FA390" w14:textId="77777777" w:rsidR="005A521B" w:rsidRPr="00CD34EF" w:rsidRDefault="005A521B" w:rsidP="008B37F8">
      <w:pPr>
        <w:jc w:val="both"/>
        <w:rPr>
          <w:lang w:val="en-US"/>
        </w:rPr>
      </w:pPr>
      <w:r w:rsidRPr="00CD34EF">
        <w:rPr>
          <w:lang w:val="en-US"/>
        </w:rPr>
        <w:t>Verloo, Mieke: Multiple Inequalities, Intersectionality and the European Union, European Journal of Women's Studies 13, no. 3 (2006) pp. 211–28.</w:t>
      </w:r>
    </w:p>
    <w:p w14:paraId="636272EE" w14:textId="77777777" w:rsidR="00B20C27" w:rsidRDefault="00B20C27" w:rsidP="008B37F8">
      <w:pPr>
        <w:pStyle w:val="Pa13"/>
        <w:jc w:val="both"/>
        <w:rPr>
          <w:rFonts w:ascii="Times New Roman" w:hAnsi="Times New Roman"/>
          <w:lang w:val="en-US"/>
        </w:rPr>
      </w:pPr>
      <w:r w:rsidRPr="00B20C27">
        <w:rPr>
          <w:rFonts w:ascii="Times New Roman" w:hAnsi="Times New Roman"/>
          <w:lang w:val="en-US"/>
        </w:rPr>
        <w:t xml:space="preserve">https://hal.archives-ouvertes.fr/hal-00571275/document </w:t>
      </w:r>
    </w:p>
    <w:p w14:paraId="4782C31F" w14:textId="467DDFC8" w:rsidR="005A521B" w:rsidRPr="007A38C4" w:rsidRDefault="005A521B" w:rsidP="008B37F8">
      <w:pPr>
        <w:pStyle w:val="Pa13"/>
        <w:jc w:val="both"/>
        <w:rPr>
          <w:rFonts w:ascii="Times New Roman" w:hAnsi="Times New Roman"/>
          <w:lang w:val="en-US"/>
        </w:rPr>
      </w:pPr>
      <w:r w:rsidRPr="00CD34EF">
        <w:rPr>
          <w:rFonts w:ascii="Times New Roman" w:hAnsi="Times New Roman"/>
          <w:lang w:val="en-US"/>
        </w:rPr>
        <w:t>H</w:t>
      </w:r>
      <w:r w:rsidRPr="007A38C4">
        <w:rPr>
          <w:rFonts w:ascii="Times New Roman" w:hAnsi="Times New Roman"/>
          <w:lang w:val="en-US"/>
        </w:rPr>
        <w:t xml:space="preserve">elen O’Nions: Warehouses and window-dressing: a legal perspective on educational segregation in </w:t>
      </w:r>
      <w:r w:rsidR="008B37F8" w:rsidRPr="007A38C4">
        <w:rPr>
          <w:rFonts w:ascii="Times New Roman" w:hAnsi="Times New Roman"/>
          <w:lang w:val="en-US"/>
        </w:rPr>
        <w:t xml:space="preserve">the </w:t>
      </w:r>
      <w:r w:rsidRPr="007A38C4">
        <w:rPr>
          <w:rFonts w:ascii="Times New Roman" w:hAnsi="Times New Roman"/>
          <w:lang w:val="en-US"/>
        </w:rPr>
        <w:t xml:space="preserve">EU </w:t>
      </w:r>
    </w:p>
    <w:p w14:paraId="54233086" w14:textId="35E5EA2F" w:rsidR="00B20C27" w:rsidRPr="007A38C4" w:rsidRDefault="00B20C27" w:rsidP="00B20C27">
      <w:pPr>
        <w:pStyle w:val="Default"/>
        <w:rPr>
          <w:rFonts w:ascii="Times New Roman" w:hAnsi="Times New Roman" w:cs="Times New Roman"/>
          <w:color w:val="auto"/>
          <w:lang w:val="en-US"/>
        </w:rPr>
      </w:pPr>
      <w:r w:rsidRPr="007A38C4">
        <w:rPr>
          <w:rFonts w:ascii="Times New Roman" w:hAnsi="Times New Roman" w:cs="Times New Roman"/>
          <w:color w:val="auto"/>
          <w:lang w:val="en-US"/>
        </w:rPr>
        <w:t>https://www.waxmann.com/index.php?eID=download&amp;id_artikel=ART101657&amp;uid=frei</w:t>
      </w:r>
    </w:p>
    <w:p w14:paraId="473F80DE" w14:textId="77777777" w:rsidR="007A38C4" w:rsidRPr="00E94150" w:rsidRDefault="007A38C4" w:rsidP="007A38C4">
      <w:pPr>
        <w:autoSpaceDE w:val="0"/>
        <w:autoSpaceDN w:val="0"/>
        <w:adjustRightInd w:val="0"/>
        <w:rPr>
          <w:lang w:val="en-US"/>
        </w:rPr>
      </w:pPr>
      <w:r w:rsidRPr="00E94150">
        <w:rPr>
          <w:lang w:val="en-US"/>
        </w:rPr>
        <w:t>A comparative analysis of</w:t>
      </w:r>
      <w:r>
        <w:rPr>
          <w:lang w:val="en-US"/>
        </w:rPr>
        <w:t xml:space="preserve"> </w:t>
      </w:r>
      <w:r w:rsidRPr="00E94150">
        <w:rPr>
          <w:lang w:val="en-US"/>
        </w:rPr>
        <w:t>non-discrimination law in</w:t>
      </w:r>
      <w:r>
        <w:rPr>
          <w:lang w:val="en-US"/>
        </w:rPr>
        <w:t xml:space="preserve"> </w:t>
      </w:r>
      <w:r w:rsidRPr="00E94150">
        <w:rPr>
          <w:lang w:val="en-US"/>
        </w:rPr>
        <w:t>Europe 2020</w:t>
      </w:r>
    </w:p>
    <w:p w14:paraId="6A3F8F33" w14:textId="77777777" w:rsidR="007A38C4" w:rsidRPr="00E94150" w:rsidRDefault="007A38C4" w:rsidP="007A38C4">
      <w:pPr>
        <w:autoSpaceDE w:val="0"/>
        <w:autoSpaceDN w:val="0"/>
        <w:adjustRightInd w:val="0"/>
        <w:rPr>
          <w:lang w:val="en-US"/>
        </w:rPr>
      </w:pPr>
      <w:r w:rsidRPr="00E94150">
        <w:rPr>
          <w:lang w:val="en-US"/>
        </w:rPr>
        <w:t>https://www.equalitylaw.eu/publications/comparative-analyses</w:t>
      </w:r>
    </w:p>
    <w:p w14:paraId="23658D77" w14:textId="77777777" w:rsidR="007A38C4" w:rsidRPr="00E94150" w:rsidRDefault="007A38C4" w:rsidP="007A38C4">
      <w:pPr>
        <w:jc w:val="both"/>
        <w:rPr>
          <w:lang w:val="en-US"/>
        </w:rPr>
      </w:pPr>
      <w:r w:rsidRPr="00E94150">
        <w:rPr>
          <w:lang w:val="en-US"/>
        </w:rPr>
        <w:t>EU legislation and policies to fight racial and ethnic discrimination</w:t>
      </w:r>
    </w:p>
    <w:p w14:paraId="09F0E454" w14:textId="77777777" w:rsidR="007A38C4" w:rsidRPr="00E94150" w:rsidRDefault="007A38C4" w:rsidP="007A38C4">
      <w:pPr>
        <w:jc w:val="both"/>
        <w:rPr>
          <w:lang w:val="en-US"/>
        </w:rPr>
      </w:pPr>
      <w:r w:rsidRPr="00E94150">
        <w:rPr>
          <w:lang w:val="en-US"/>
        </w:rPr>
        <w:t xml:space="preserve">https://www.europarl.europa.eu/thinktank/en/document.html?reference=EPRS_BRI(2021)690525 </w:t>
      </w:r>
    </w:p>
    <w:p w14:paraId="7E84671B" w14:textId="41F264E5" w:rsidR="005A521B" w:rsidRPr="00CD34EF" w:rsidRDefault="005A521B" w:rsidP="008B37F8">
      <w:pPr>
        <w:jc w:val="both"/>
        <w:rPr>
          <w:lang w:val="en-US"/>
        </w:rPr>
      </w:pPr>
      <w:r w:rsidRPr="00CD34EF">
        <w:rPr>
          <w:lang w:val="en-US"/>
        </w:rPr>
        <w:t xml:space="preserve">Korematsu v. United States, 323 U.S. 214 (1944) </w:t>
      </w:r>
    </w:p>
    <w:p w14:paraId="3C37D67E" w14:textId="0AB7A2EF" w:rsidR="00B20C27" w:rsidRDefault="00457092" w:rsidP="008B37F8">
      <w:pPr>
        <w:jc w:val="both"/>
        <w:rPr>
          <w:lang w:val="en-US"/>
        </w:rPr>
      </w:pPr>
      <w:hyperlink r:id="rId43" w:history="1">
        <w:r w:rsidR="00B20C27" w:rsidRPr="007A38C4">
          <w:rPr>
            <w:lang w:val="en-US"/>
          </w:rPr>
          <w:t>https://supreme.justia.com/cases/federal/us/323/214/</w:t>
        </w:r>
      </w:hyperlink>
    </w:p>
    <w:p w14:paraId="67233E8B" w14:textId="7147CCF2" w:rsidR="005A521B" w:rsidRDefault="005A521B" w:rsidP="008B37F8">
      <w:pPr>
        <w:jc w:val="both"/>
        <w:rPr>
          <w:lang w:val="en-US"/>
        </w:rPr>
      </w:pPr>
      <w:r w:rsidRPr="00CD34EF">
        <w:rPr>
          <w:lang w:val="en-US"/>
        </w:rPr>
        <w:t>Plessy v. Ferguson, 163 U.S. 537 (1896)</w:t>
      </w:r>
    </w:p>
    <w:p w14:paraId="6A8E4F08" w14:textId="3242BB3B" w:rsidR="00B20C27" w:rsidRPr="00CD34EF" w:rsidRDefault="00B20C27" w:rsidP="008B37F8">
      <w:pPr>
        <w:jc w:val="both"/>
        <w:rPr>
          <w:lang w:val="en-US"/>
        </w:rPr>
      </w:pPr>
      <w:r w:rsidRPr="00B20C27">
        <w:rPr>
          <w:lang w:val="en-US"/>
        </w:rPr>
        <w:t>https://supreme.justia.com/cases/federal/us/163/537/</w:t>
      </w:r>
    </w:p>
    <w:p w14:paraId="4E233802" w14:textId="6C3F0D42" w:rsidR="005A521B" w:rsidRDefault="005A521B" w:rsidP="008B37F8">
      <w:pPr>
        <w:jc w:val="both"/>
        <w:rPr>
          <w:lang w:val="en-US"/>
        </w:rPr>
      </w:pPr>
      <w:r w:rsidRPr="00CD34EF">
        <w:rPr>
          <w:lang w:val="en-US"/>
        </w:rPr>
        <w:t>Brown v. Board of Education, 347 U.S. 483 (1954)</w:t>
      </w:r>
    </w:p>
    <w:p w14:paraId="49EC8B45" w14:textId="483C101F" w:rsidR="00B20C27" w:rsidRPr="00CD34EF" w:rsidRDefault="00B20C27" w:rsidP="008B37F8">
      <w:pPr>
        <w:jc w:val="both"/>
        <w:rPr>
          <w:lang w:val="en-US"/>
        </w:rPr>
      </w:pPr>
      <w:r w:rsidRPr="00B20C27">
        <w:rPr>
          <w:lang w:val="en-US"/>
        </w:rPr>
        <w:t>https://supreme.justia.com/cases/federal/us/347/483/</w:t>
      </w:r>
    </w:p>
    <w:p w14:paraId="2F3CE6AE" w14:textId="77777777" w:rsidR="002431CB" w:rsidRPr="002431CB" w:rsidRDefault="002431CB" w:rsidP="002431CB">
      <w:pPr>
        <w:jc w:val="both"/>
        <w:rPr>
          <w:lang w:val="en-US"/>
        </w:rPr>
      </w:pPr>
      <w:r w:rsidRPr="002431CB">
        <w:rPr>
          <w:lang w:val="en-US"/>
        </w:rPr>
        <w:t>Loving v. Virginia, 388 U.S. 1 (1967)</w:t>
      </w:r>
    </w:p>
    <w:p w14:paraId="4E6A5DFA" w14:textId="77777777" w:rsidR="002431CB" w:rsidRPr="002431CB" w:rsidRDefault="002431CB" w:rsidP="002431CB">
      <w:pPr>
        <w:jc w:val="both"/>
        <w:rPr>
          <w:lang w:val="en-US"/>
        </w:rPr>
      </w:pPr>
      <w:r w:rsidRPr="002431CB">
        <w:rPr>
          <w:lang w:val="en-US"/>
        </w:rPr>
        <w:t>https://www.oyez.org/cases/1966/395</w:t>
      </w:r>
    </w:p>
    <w:p w14:paraId="38287294" w14:textId="0C2A5CD3" w:rsidR="005A521B" w:rsidRDefault="005A521B" w:rsidP="008B37F8">
      <w:pPr>
        <w:jc w:val="both"/>
        <w:rPr>
          <w:lang w:val="en-US"/>
        </w:rPr>
      </w:pPr>
      <w:r w:rsidRPr="00CD34EF">
        <w:rPr>
          <w:lang w:val="en-US"/>
        </w:rPr>
        <w:t xml:space="preserve">D.H. v. Czech Republic </w:t>
      </w:r>
    </w:p>
    <w:p w14:paraId="5037D3B5" w14:textId="07CD524C" w:rsidR="00B20C27" w:rsidRPr="00CD34EF" w:rsidRDefault="00B20C27" w:rsidP="008B37F8">
      <w:pPr>
        <w:jc w:val="both"/>
        <w:rPr>
          <w:lang w:val="en-US"/>
        </w:rPr>
      </w:pPr>
      <w:r w:rsidRPr="00B20C27">
        <w:rPr>
          <w:lang w:val="en-US"/>
        </w:rPr>
        <w:t>https://hudoc.echr.coe.int/fre#{%22itemid%22:[%22002-2439%22]}</w:t>
      </w:r>
    </w:p>
    <w:p w14:paraId="02C0670B" w14:textId="77777777" w:rsidR="00A50C39" w:rsidRPr="00CD34EF" w:rsidRDefault="00A50C39" w:rsidP="00A50C39">
      <w:pPr>
        <w:rPr>
          <w:lang w:val="en-US"/>
        </w:rPr>
      </w:pPr>
      <w:r w:rsidRPr="00CD34EF">
        <w:rPr>
          <w:lang w:val="en-US"/>
        </w:rPr>
        <w:t>Horváth and Kiss v. Hungary</w:t>
      </w:r>
    </w:p>
    <w:p w14:paraId="1FEDFA08" w14:textId="77777777" w:rsidR="00B20C27" w:rsidRPr="0051050A" w:rsidRDefault="00B20C27" w:rsidP="00B20C27">
      <w:pPr>
        <w:shd w:val="clear" w:color="auto" w:fill="FFFFFF"/>
        <w:jc w:val="both"/>
        <w:textAlignment w:val="baseline"/>
        <w:rPr>
          <w:rFonts w:ascii="Segoe UI" w:hAnsi="Segoe UI" w:cs="Segoe UI"/>
          <w:color w:val="000000"/>
          <w:sz w:val="18"/>
          <w:szCs w:val="18"/>
        </w:rPr>
      </w:pPr>
      <w:r w:rsidRPr="0051050A">
        <w:rPr>
          <w:color w:val="000000"/>
        </w:rPr>
        <w:t>PAP, András László. Harassment: A Silver Bullet to Tackle Institutional Discrimination, But No Panacea for all Forms of Dignity and Equality Harms. Intersections. East European Journal of Society and Politics, [S.l.], v. 5, n. 2, july 2019.  </w:t>
      </w:r>
    </w:p>
    <w:p w14:paraId="079DBC48" w14:textId="77777777" w:rsidR="00B20C27" w:rsidRPr="00B20C27" w:rsidRDefault="00457092" w:rsidP="00B20C27">
      <w:pPr>
        <w:shd w:val="clear" w:color="auto" w:fill="FFFFFF"/>
        <w:jc w:val="both"/>
        <w:textAlignment w:val="baseline"/>
        <w:rPr>
          <w:lang w:val="en-US"/>
        </w:rPr>
      </w:pPr>
      <w:hyperlink r:id="rId44" w:tgtFrame="_blank" w:history="1">
        <w:r w:rsidR="00B20C27" w:rsidRPr="00B20C27">
          <w:rPr>
            <w:lang w:val="en-US"/>
          </w:rPr>
          <w:t>https://intersections.tk.mta.hu/index.php/intersections/article/view/497</w:t>
        </w:r>
      </w:hyperlink>
      <w:r w:rsidR="00B20C27" w:rsidRPr="00B20C27">
        <w:rPr>
          <w:lang w:val="en-US"/>
        </w:rPr>
        <w:t> </w:t>
      </w:r>
    </w:p>
    <w:p w14:paraId="6C03FA07" w14:textId="52038EE6" w:rsidR="00B20C27" w:rsidRPr="00B20C27" w:rsidRDefault="00B20C27" w:rsidP="00B20C27">
      <w:pPr>
        <w:shd w:val="clear" w:color="auto" w:fill="FFFFFF"/>
        <w:rPr>
          <w:lang w:val="en-US"/>
        </w:rPr>
      </w:pPr>
      <w:r w:rsidRPr="00B20C27">
        <w:rPr>
          <w:lang w:val="en-US"/>
        </w:rPr>
        <w:t xml:space="preserve">Kimberle Crenshaw: Mapping the Margins: Intersectionality, Identity Politics, and Violence against Women of Color, Stanford Law Review, </w:t>
      </w:r>
      <w:hyperlink r:id="rId45" w:history="1">
        <w:r w:rsidRPr="00B20C27">
          <w:rPr>
            <w:lang w:val="en-US"/>
          </w:rPr>
          <w:t>Vol. 43, No. 6 (Jul., 1991)</w:t>
        </w:r>
      </w:hyperlink>
    </w:p>
    <w:p w14:paraId="31B11DEC" w14:textId="51230FC0" w:rsidR="00B20C27" w:rsidRDefault="00457092" w:rsidP="00B20C27">
      <w:pPr>
        <w:jc w:val="both"/>
        <w:rPr>
          <w:lang w:val="en-US"/>
        </w:rPr>
      </w:pPr>
      <w:hyperlink r:id="rId46" w:history="1">
        <w:r w:rsidR="00B20C27" w:rsidRPr="00B20C27">
          <w:rPr>
            <w:lang w:val="en-US"/>
          </w:rPr>
          <w:t>https://www.jstor.org/stable/1229039</w:t>
        </w:r>
      </w:hyperlink>
    </w:p>
    <w:p w14:paraId="102474C4" w14:textId="21819DD7" w:rsidR="009C14CD" w:rsidRDefault="00E81306" w:rsidP="006E20F8">
      <w:pPr>
        <w:rPr>
          <w:rFonts w:ascii="Noto Sans" w:hAnsi="Noto Sans"/>
          <w:color w:val="230050"/>
          <w:sz w:val="23"/>
          <w:szCs w:val="23"/>
        </w:rPr>
      </w:pPr>
      <w:r>
        <w:rPr>
          <w:rFonts w:ascii="Noto Sans" w:hAnsi="Noto Sans"/>
          <w:color w:val="230050"/>
          <w:sz w:val="23"/>
          <w:szCs w:val="23"/>
        </w:rPr>
        <w:t xml:space="preserve">ILO </w:t>
      </w:r>
      <w:hyperlink r:id="rId47" w:history="1">
        <w:r w:rsidRPr="00043326">
          <w:rPr>
            <w:rFonts w:ascii="Noto Sans" w:hAnsi="Noto Sans"/>
            <w:color w:val="1E2DBE"/>
            <w:sz w:val="23"/>
            <w:szCs w:val="23"/>
            <w:u w:val="single"/>
          </w:rPr>
          <w:t>Violence and Harassment Convention, 2019 (No. 190) </w:t>
        </w:r>
      </w:hyperlink>
    </w:p>
    <w:p w14:paraId="049113C1" w14:textId="178187B5" w:rsidR="00E81306" w:rsidRDefault="00457092" w:rsidP="006E20F8">
      <w:pPr>
        <w:rPr>
          <w:lang w:val="en-US"/>
        </w:rPr>
      </w:pPr>
      <w:hyperlink r:id="rId48" w:history="1">
        <w:r w:rsidR="008352D3" w:rsidRPr="00956D84">
          <w:rPr>
            <w:rStyle w:val="Hiperhivatkozs"/>
            <w:lang w:val="en-US"/>
          </w:rPr>
          <w:t>https://www.ilo.org/dyn/normlex/en/f?p=NORMLEXPUB:12100:0::NO::P12100_ILO_CODE:C190</w:t>
        </w:r>
      </w:hyperlink>
    </w:p>
    <w:p w14:paraId="5F3FF575" w14:textId="77777777" w:rsidR="008352D3" w:rsidRPr="008352D3" w:rsidRDefault="008352D3" w:rsidP="008352D3">
      <w:pPr>
        <w:jc w:val="both"/>
        <w:rPr>
          <w:lang w:val="en-US"/>
        </w:rPr>
      </w:pPr>
      <w:r w:rsidRPr="008352D3">
        <w:rPr>
          <w:lang w:val="en-US"/>
        </w:rPr>
        <w:t>CHEZ Razpredelenie Bulgaria AD v Komisia za zashtita ot diskriminatsia</w:t>
      </w:r>
    </w:p>
    <w:p w14:paraId="33B86704" w14:textId="784DCC0A" w:rsidR="008352D3" w:rsidRDefault="00457092" w:rsidP="008352D3">
      <w:pPr>
        <w:jc w:val="both"/>
        <w:rPr>
          <w:lang w:val="en-US"/>
        </w:rPr>
      </w:pPr>
      <w:hyperlink r:id="rId49" w:history="1">
        <w:r w:rsidR="00A07364" w:rsidRPr="002A3727">
          <w:rPr>
            <w:rStyle w:val="Hiperhivatkozs"/>
            <w:lang w:val="en-US"/>
          </w:rPr>
          <w:t>https://curia.europa.eu/juris/document/document.jsf?docid=165912&amp;doclang=EN</w:t>
        </w:r>
      </w:hyperlink>
    </w:p>
    <w:p w14:paraId="3E04EAAF" w14:textId="77777777" w:rsidR="00A07364" w:rsidRPr="00742C51" w:rsidRDefault="00A07364" w:rsidP="00A07364">
      <w:pPr>
        <w:rPr>
          <w:lang w:val="en-US"/>
        </w:rPr>
      </w:pPr>
      <w:r w:rsidRPr="00742C51">
        <w:rPr>
          <w:lang w:val="en-US"/>
        </w:rPr>
        <w:t>EU Framework for National Roma Integration Strategies up to 2020</w:t>
      </w:r>
    </w:p>
    <w:p w14:paraId="5DAC22D4" w14:textId="77777777" w:rsidR="00A07364" w:rsidRPr="00742C51" w:rsidRDefault="00457092" w:rsidP="00A07364">
      <w:pPr>
        <w:rPr>
          <w:lang w:val="en-US"/>
        </w:rPr>
      </w:pPr>
      <w:hyperlink r:id="rId50" w:history="1">
        <w:r w:rsidR="00A07364" w:rsidRPr="00742C51">
          <w:rPr>
            <w:lang w:val="en-US"/>
          </w:rPr>
          <w:t>https://ec.europa.eu/info/policies/justice-and-fundamental-rights/combatting-discrimination/roma-eu/roma-equality-inclusion-and-participation-eu/eu-roma-national-integration-strategies-2020_en</w:t>
        </w:r>
      </w:hyperlink>
    </w:p>
    <w:p w14:paraId="2FC0F509" w14:textId="77777777" w:rsidR="00A07364" w:rsidRPr="00CD34EF" w:rsidRDefault="00A07364" w:rsidP="00A07364">
      <w:pPr>
        <w:rPr>
          <w:lang w:val="en-US"/>
        </w:rPr>
      </w:pPr>
      <w:r w:rsidRPr="00CD34EF">
        <w:rPr>
          <w:lang w:val="en-US"/>
        </w:rPr>
        <w:t xml:space="preserve">Bernard Rorke - Orhan Usein (eds.) A decade lost. Reflections on Roma inclusion 2005–2015, </w:t>
      </w:r>
    </w:p>
    <w:p w14:paraId="188521D4" w14:textId="77777777" w:rsidR="00A07364" w:rsidRDefault="00457092" w:rsidP="00A07364">
      <w:pPr>
        <w:rPr>
          <w:lang w:val="en-US"/>
        </w:rPr>
      </w:pPr>
      <w:hyperlink r:id="rId51" w:history="1">
        <w:r w:rsidR="00A07364" w:rsidRPr="00956D84">
          <w:rPr>
            <w:rStyle w:val="Hiperhivatkozs"/>
            <w:lang w:val="en-US"/>
          </w:rPr>
          <w:t>https://www.rcc.int/romaintegration2020/romadecadefold//decade%20implementation/5.%20Decade%20Secretariat%20Reports/A%20Lost%20Decade.pdf</w:t>
        </w:r>
      </w:hyperlink>
    </w:p>
    <w:p w14:paraId="374F1CE8" w14:textId="77777777" w:rsidR="00A07364" w:rsidRDefault="00A07364" w:rsidP="00A50C39">
      <w:pPr>
        <w:jc w:val="both"/>
        <w:rPr>
          <w:b/>
          <w:highlight w:val="darkGray"/>
          <w:lang w:val="en-US"/>
        </w:rPr>
      </w:pPr>
    </w:p>
    <w:p w14:paraId="556F9590" w14:textId="1EEAF895" w:rsidR="00A50C39" w:rsidRPr="00F6065C" w:rsidRDefault="005A521B" w:rsidP="00A50C39">
      <w:pPr>
        <w:jc w:val="both"/>
        <w:rPr>
          <w:b/>
          <w:highlight w:val="darkGray"/>
          <w:lang w:val="en-US"/>
        </w:rPr>
      </w:pPr>
      <w:r w:rsidRPr="00F6065C">
        <w:rPr>
          <w:b/>
          <w:highlight w:val="darkGray"/>
          <w:lang w:val="en-US"/>
        </w:rPr>
        <w:t>Presentations</w:t>
      </w:r>
    </w:p>
    <w:p w14:paraId="6F3BCA9D" w14:textId="484A5B1F" w:rsidR="00231618" w:rsidRPr="00F6065C" w:rsidRDefault="00231618" w:rsidP="00423F4A">
      <w:pPr>
        <w:numPr>
          <w:ilvl w:val="0"/>
          <w:numId w:val="30"/>
        </w:numPr>
        <w:jc w:val="both"/>
        <w:rPr>
          <w:b/>
          <w:highlight w:val="darkGray"/>
          <w:lang w:val="en-US"/>
        </w:rPr>
      </w:pPr>
      <w:r w:rsidRPr="00F6065C">
        <w:rPr>
          <w:b/>
          <w:highlight w:val="darkGray"/>
          <w:lang w:val="en-US"/>
        </w:rPr>
        <w:t>Intersectionality</w:t>
      </w:r>
    </w:p>
    <w:p w14:paraId="2B698728" w14:textId="77777777" w:rsidR="00231618" w:rsidRPr="00F6065C" w:rsidRDefault="00231618" w:rsidP="00423F4A">
      <w:pPr>
        <w:numPr>
          <w:ilvl w:val="0"/>
          <w:numId w:val="30"/>
        </w:numPr>
        <w:jc w:val="both"/>
        <w:rPr>
          <w:b/>
          <w:highlight w:val="darkGray"/>
          <w:lang w:val="en-US"/>
        </w:rPr>
      </w:pPr>
      <w:r w:rsidRPr="00F6065C">
        <w:rPr>
          <w:b/>
          <w:highlight w:val="darkGray"/>
          <w:lang w:val="en-US"/>
        </w:rPr>
        <w:t>Th</w:t>
      </w:r>
      <w:r w:rsidR="005A521B" w:rsidRPr="00F6065C">
        <w:rPr>
          <w:b/>
          <w:highlight w:val="darkGray"/>
          <w:lang w:val="en-US"/>
        </w:rPr>
        <w:t>e morphology of discrimination</w:t>
      </w:r>
      <w:r w:rsidRPr="00F6065C">
        <w:rPr>
          <w:b/>
          <w:highlight w:val="darkGray"/>
          <w:lang w:val="en-US"/>
        </w:rPr>
        <w:t>: the case of the Roma</w:t>
      </w:r>
    </w:p>
    <w:p w14:paraId="7935C709" w14:textId="77777777" w:rsidR="00231618" w:rsidRPr="00F6065C" w:rsidRDefault="00DD533E" w:rsidP="00423F4A">
      <w:pPr>
        <w:numPr>
          <w:ilvl w:val="0"/>
          <w:numId w:val="30"/>
        </w:numPr>
        <w:jc w:val="both"/>
        <w:rPr>
          <w:b/>
          <w:highlight w:val="darkGray"/>
          <w:lang w:val="en-US"/>
        </w:rPr>
      </w:pPr>
      <w:r w:rsidRPr="00F6065C">
        <w:rPr>
          <w:b/>
          <w:highlight w:val="darkGray"/>
          <w:lang w:val="en-US"/>
        </w:rPr>
        <w:t>The Korematsu- case</w:t>
      </w:r>
      <w:r w:rsidR="007E67C1" w:rsidRPr="00F6065C">
        <w:rPr>
          <w:b/>
          <w:highlight w:val="darkGray"/>
          <w:lang w:val="en-US"/>
        </w:rPr>
        <w:t xml:space="preserve"> + 2016 echoes</w:t>
      </w:r>
    </w:p>
    <w:p w14:paraId="412BABB6" w14:textId="77777777" w:rsidR="00231618" w:rsidRPr="00F6065C" w:rsidRDefault="00231618" w:rsidP="00423F4A">
      <w:pPr>
        <w:numPr>
          <w:ilvl w:val="0"/>
          <w:numId w:val="30"/>
        </w:numPr>
        <w:jc w:val="both"/>
        <w:rPr>
          <w:b/>
          <w:highlight w:val="darkGray"/>
          <w:lang w:val="en-US"/>
        </w:rPr>
      </w:pPr>
      <w:r w:rsidRPr="00F6065C">
        <w:rPr>
          <w:b/>
          <w:highlight w:val="darkGray"/>
          <w:lang w:val="en-US"/>
        </w:rPr>
        <w:lastRenderedPageBreak/>
        <w:t xml:space="preserve">The </w:t>
      </w:r>
      <w:r w:rsidR="00DD533E" w:rsidRPr="00F6065C">
        <w:rPr>
          <w:b/>
          <w:highlight w:val="darkGray"/>
          <w:lang w:val="en-US"/>
        </w:rPr>
        <w:t>Plessy-case</w:t>
      </w:r>
    </w:p>
    <w:p w14:paraId="317F49E2" w14:textId="5F5D1952" w:rsidR="00231618" w:rsidRPr="00F6065C" w:rsidRDefault="00DD533E" w:rsidP="00423F4A">
      <w:pPr>
        <w:numPr>
          <w:ilvl w:val="0"/>
          <w:numId w:val="30"/>
        </w:numPr>
        <w:jc w:val="both"/>
        <w:rPr>
          <w:b/>
          <w:highlight w:val="darkGray"/>
          <w:lang w:val="en-US"/>
        </w:rPr>
      </w:pPr>
      <w:r w:rsidRPr="00F6065C">
        <w:rPr>
          <w:b/>
          <w:highlight w:val="darkGray"/>
          <w:lang w:val="en-US"/>
        </w:rPr>
        <w:t>The Brown- case</w:t>
      </w:r>
    </w:p>
    <w:p w14:paraId="66067C08" w14:textId="3FF58412" w:rsidR="002431CB" w:rsidRPr="00F6065C" w:rsidRDefault="002431CB" w:rsidP="00423F4A">
      <w:pPr>
        <w:numPr>
          <w:ilvl w:val="0"/>
          <w:numId w:val="30"/>
        </w:numPr>
        <w:jc w:val="both"/>
        <w:rPr>
          <w:b/>
          <w:highlight w:val="darkGray"/>
          <w:lang w:val="en-US"/>
        </w:rPr>
      </w:pPr>
      <w:r w:rsidRPr="00F6065C">
        <w:rPr>
          <w:b/>
          <w:highlight w:val="darkGray"/>
          <w:lang w:val="en-US"/>
        </w:rPr>
        <w:t>Lovin</w:t>
      </w:r>
      <w:r w:rsidR="00A07364">
        <w:rPr>
          <w:b/>
          <w:highlight w:val="darkGray"/>
          <w:lang w:val="en-US"/>
        </w:rPr>
        <w:t>g v. Virginia</w:t>
      </w:r>
    </w:p>
    <w:p w14:paraId="3C16A0C1" w14:textId="77777777" w:rsidR="00231618" w:rsidRPr="00F6065C" w:rsidRDefault="00DD533E" w:rsidP="00423F4A">
      <w:pPr>
        <w:numPr>
          <w:ilvl w:val="0"/>
          <w:numId w:val="30"/>
        </w:numPr>
        <w:jc w:val="both"/>
        <w:rPr>
          <w:b/>
          <w:highlight w:val="darkGray"/>
          <w:lang w:val="en-US"/>
        </w:rPr>
      </w:pPr>
      <w:r w:rsidRPr="00F6065C">
        <w:rPr>
          <w:b/>
          <w:highlight w:val="darkGray"/>
          <w:lang w:val="en-US"/>
        </w:rPr>
        <w:t xml:space="preserve">The D.H. </w:t>
      </w:r>
      <w:r w:rsidR="00AE673D" w:rsidRPr="00F6065C">
        <w:rPr>
          <w:b/>
          <w:highlight w:val="darkGray"/>
          <w:lang w:val="en-US"/>
        </w:rPr>
        <w:t>v. Czech Republic</w:t>
      </w:r>
      <w:r w:rsidRPr="00F6065C">
        <w:rPr>
          <w:b/>
          <w:highlight w:val="darkGray"/>
          <w:lang w:val="en-US"/>
        </w:rPr>
        <w:t xml:space="preserve"> case</w:t>
      </w:r>
    </w:p>
    <w:p w14:paraId="6523A378" w14:textId="2C01F1CD" w:rsidR="008352D3" w:rsidRPr="00F6065C" w:rsidRDefault="008352D3" w:rsidP="00423F4A">
      <w:pPr>
        <w:numPr>
          <w:ilvl w:val="0"/>
          <w:numId w:val="30"/>
        </w:numPr>
        <w:jc w:val="both"/>
        <w:rPr>
          <w:b/>
          <w:highlight w:val="darkGray"/>
          <w:lang w:val="en-US"/>
        </w:rPr>
      </w:pPr>
      <w:r w:rsidRPr="00F6065C">
        <w:rPr>
          <w:b/>
          <w:highlight w:val="darkGray"/>
          <w:lang w:val="en-US"/>
        </w:rPr>
        <w:t>CHEZ Razpredelenie Bulgaria AD v Komisia za zashtita ot diskriminatsia</w:t>
      </w:r>
    </w:p>
    <w:p w14:paraId="75DBDD79" w14:textId="77777777" w:rsidR="004B6E83" w:rsidRDefault="004B6E83" w:rsidP="007A38C4">
      <w:pPr>
        <w:jc w:val="both"/>
        <w:rPr>
          <w:b/>
          <w:lang w:val="en-US"/>
        </w:rPr>
      </w:pPr>
    </w:p>
    <w:p w14:paraId="6D12B550" w14:textId="77777777" w:rsidR="00DE00DD" w:rsidRPr="00043060" w:rsidRDefault="00DE00DD" w:rsidP="00DE00DD">
      <w:pPr>
        <w:rPr>
          <w:b/>
          <w:lang w:val="en-US"/>
        </w:rPr>
      </w:pPr>
      <w:r w:rsidRPr="00C81E7E">
        <w:rPr>
          <w:b/>
        </w:rPr>
        <w:t xml:space="preserve">Class 6. October 25.  </w:t>
      </w:r>
      <w:r w:rsidRPr="00043060">
        <w:rPr>
          <w:b/>
          <w:lang w:val="en-US"/>
        </w:rPr>
        <w:t>Equality and discrimination continued, reversed discrimination/affirmative</w:t>
      </w:r>
      <w:r>
        <w:rPr>
          <w:b/>
          <w:lang w:val="en-US"/>
        </w:rPr>
        <w:t xml:space="preserve">. </w:t>
      </w:r>
    </w:p>
    <w:p w14:paraId="18C256A9" w14:textId="77777777" w:rsidR="00E9239B" w:rsidRDefault="00E9239B" w:rsidP="00E9239B">
      <w:pPr>
        <w:jc w:val="both"/>
        <w:rPr>
          <w:lang w:val="en-US"/>
        </w:rPr>
      </w:pPr>
      <w:r>
        <w:rPr>
          <w:i/>
          <w:iCs/>
          <w:lang w:val="en-US"/>
        </w:rPr>
        <w:t>R</w:t>
      </w:r>
      <w:r w:rsidRPr="00E9239B">
        <w:rPr>
          <w:i/>
          <w:iCs/>
          <w:lang w:val="en-US"/>
        </w:rPr>
        <w:t>eadings</w:t>
      </w:r>
      <w:r w:rsidRPr="00E9239B">
        <w:rPr>
          <w:lang w:val="en-US"/>
        </w:rPr>
        <w:t xml:space="preserve"> </w:t>
      </w:r>
    </w:p>
    <w:p w14:paraId="69D32E43" w14:textId="4AA93731" w:rsidR="00E9239B" w:rsidRPr="00E9239B" w:rsidRDefault="00E35EC7" w:rsidP="00E9239B">
      <w:pPr>
        <w:jc w:val="both"/>
        <w:rPr>
          <w:lang w:val="en-US"/>
        </w:rPr>
      </w:pPr>
      <w:r w:rsidRPr="00E9239B">
        <w:rPr>
          <w:lang w:val="en-US"/>
        </w:rPr>
        <w:t>Affirmative Action</w:t>
      </w:r>
      <w:r>
        <w:rPr>
          <w:lang w:val="en-US"/>
        </w:rPr>
        <w:t xml:space="preserve">, </w:t>
      </w:r>
      <w:hyperlink r:id="rId52" w:history="1">
        <w:r w:rsidR="00E9239B" w:rsidRPr="00E9239B">
          <w:rPr>
            <w:lang w:val="en-US"/>
          </w:rPr>
          <w:t>Stanford Encyclopedia of Philosophy</w:t>
        </w:r>
      </w:hyperlink>
      <w:r>
        <w:rPr>
          <w:lang w:val="en-US"/>
        </w:rPr>
        <w:t xml:space="preserve">, </w:t>
      </w:r>
    </w:p>
    <w:p w14:paraId="2ECE7266" w14:textId="7C20E09B" w:rsidR="00E9239B" w:rsidRPr="00E9239B" w:rsidRDefault="00E9239B" w:rsidP="00E9239B">
      <w:pPr>
        <w:jc w:val="both"/>
        <w:rPr>
          <w:lang w:val="en-US"/>
        </w:rPr>
      </w:pPr>
      <w:r w:rsidRPr="00E9239B">
        <w:rPr>
          <w:lang w:val="en-US"/>
        </w:rPr>
        <w:t>https://plato.stanford.edu/entries/affirmative-action/</w:t>
      </w:r>
    </w:p>
    <w:p w14:paraId="5DC79F9A" w14:textId="71397D32" w:rsidR="00E9239B" w:rsidRPr="00CD34EF" w:rsidRDefault="00E9239B" w:rsidP="00E9239B">
      <w:pPr>
        <w:jc w:val="both"/>
        <w:rPr>
          <w:lang w:val="en-US"/>
        </w:rPr>
      </w:pPr>
      <w:r w:rsidRPr="00CD34EF">
        <w:rPr>
          <w:i/>
          <w:iCs/>
          <w:lang w:val="en-US"/>
        </w:rPr>
        <w:t>Recommended</w:t>
      </w:r>
      <w:r>
        <w:rPr>
          <w:lang w:val="en-US"/>
        </w:rPr>
        <w:t xml:space="preserve"> </w:t>
      </w:r>
      <w:r w:rsidRPr="00E9239B">
        <w:rPr>
          <w:i/>
          <w:iCs/>
          <w:lang w:val="en-US"/>
        </w:rPr>
        <w:t>readings</w:t>
      </w:r>
    </w:p>
    <w:p w14:paraId="67243038" w14:textId="77777777" w:rsidR="00E9239B" w:rsidRPr="00CD34EF" w:rsidRDefault="00E9239B" w:rsidP="00E9239B">
      <w:pPr>
        <w:jc w:val="both"/>
        <w:rPr>
          <w:lang w:val="en-US"/>
        </w:rPr>
      </w:pPr>
      <w:r w:rsidRPr="00CD34EF">
        <w:rPr>
          <w:lang w:val="en-US"/>
        </w:rPr>
        <w:t>University of California Regents v. Bakke, 438 U.S. 265 (1978)</w:t>
      </w:r>
    </w:p>
    <w:p w14:paraId="725ABC1E" w14:textId="77777777" w:rsidR="00E9239B" w:rsidRDefault="00457092" w:rsidP="00E9239B">
      <w:pPr>
        <w:jc w:val="both"/>
        <w:rPr>
          <w:lang w:val="en-US"/>
        </w:rPr>
      </w:pPr>
      <w:hyperlink r:id="rId53" w:history="1">
        <w:r w:rsidR="00E9239B" w:rsidRPr="00956D84">
          <w:rPr>
            <w:rStyle w:val="Hiperhivatkozs"/>
            <w:lang w:val="en-US"/>
          </w:rPr>
          <w:t>https://supreme.justia.com/cases/federal/us/438/265/</w:t>
        </w:r>
      </w:hyperlink>
    </w:p>
    <w:p w14:paraId="1DEFBAB2" w14:textId="77777777" w:rsidR="00E9239B" w:rsidRPr="00CD34EF" w:rsidRDefault="00E9239B" w:rsidP="00E9239B">
      <w:pPr>
        <w:jc w:val="both"/>
        <w:rPr>
          <w:lang w:val="en-US"/>
        </w:rPr>
      </w:pPr>
      <w:r w:rsidRPr="00CD34EF">
        <w:rPr>
          <w:lang w:val="en-US"/>
        </w:rPr>
        <w:t xml:space="preserve">Grutter v. Bollinger, </w:t>
      </w:r>
      <w:hyperlink r:id="rId54" w:tooltip="Case citation" w:history="1">
        <w:r w:rsidRPr="00CD34EF">
          <w:rPr>
            <w:rStyle w:val="Hiperhivatkozs"/>
            <w:color w:val="auto"/>
            <w:u w:val="none"/>
            <w:lang w:val="en-US"/>
          </w:rPr>
          <w:t>539 U.S. 306</w:t>
        </w:r>
      </w:hyperlink>
      <w:r w:rsidRPr="00CD34EF">
        <w:rPr>
          <w:lang w:val="en-US"/>
        </w:rPr>
        <w:t xml:space="preserve"> (2003) </w:t>
      </w:r>
    </w:p>
    <w:p w14:paraId="10D9F271" w14:textId="77777777" w:rsidR="00E9239B" w:rsidRDefault="00457092" w:rsidP="00E9239B">
      <w:pPr>
        <w:jc w:val="both"/>
        <w:rPr>
          <w:lang w:val="en-US"/>
        </w:rPr>
      </w:pPr>
      <w:hyperlink r:id="rId55" w:history="1">
        <w:r w:rsidR="00E9239B" w:rsidRPr="00956D84">
          <w:rPr>
            <w:rStyle w:val="Hiperhivatkozs"/>
            <w:lang w:val="en-US"/>
          </w:rPr>
          <w:t>https://supreme.justia.com/cases/federal/us/539/306/</w:t>
        </w:r>
      </w:hyperlink>
    </w:p>
    <w:p w14:paraId="1436A03C" w14:textId="77777777" w:rsidR="00E9239B" w:rsidRPr="00CD34EF" w:rsidRDefault="00E9239B" w:rsidP="00E9239B">
      <w:pPr>
        <w:jc w:val="both"/>
        <w:rPr>
          <w:lang w:val="en-US"/>
        </w:rPr>
      </w:pPr>
      <w:r w:rsidRPr="00CD34EF">
        <w:rPr>
          <w:lang w:val="en-US"/>
        </w:rPr>
        <w:t>Fisher v. Texas (2013)</w:t>
      </w:r>
    </w:p>
    <w:p w14:paraId="0EADE6B5" w14:textId="77777777" w:rsidR="00E9239B" w:rsidRDefault="00457092" w:rsidP="00E9239B">
      <w:pPr>
        <w:rPr>
          <w:lang w:val="en-US"/>
        </w:rPr>
      </w:pPr>
      <w:hyperlink r:id="rId56" w:history="1">
        <w:r w:rsidR="00E9239B" w:rsidRPr="00956D84">
          <w:rPr>
            <w:rStyle w:val="Hiperhivatkozs"/>
            <w:lang w:val="en-US"/>
          </w:rPr>
          <w:t>https://www.oyez.org/cases/2012/11-345</w:t>
        </w:r>
      </w:hyperlink>
    </w:p>
    <w:p w14:paraId="4078571D" w14:textId="77777777" w:rsidR="00E9239B" w:rsidRPr="00CD34EF" w:rsidRDefault="00E9239B" w:rsidP="00E9239B">
      <w:pPr>
        <w:jc w:val="both"/>
        <w:rPr>
          <w:lang w:val="en-US"/>
        </w:rPr>
      </w:pPr>
      <w:r w:rsidRPr="00CD34EF">
        <w:rPr>
          <w:lang w:val="en-US"/>
        </w:rPr>
        <w:t>Schuette v. Bamn</w:t>
      </w:r>
    </w:p>
    <w:p w14:paraId="63B2D790" w14:textId="31ACF11D" w:rsidR="00E9239B" w:rsidRDefault="00457092" w:rsidP="00E9239B">
      <w:pPr>
        <w:rPr>
          <w:rStyle w:val="Hiperhivatkozs"/>
          <w:lang w:val="en-US"/>
        </w:rPr>
      </w:pPr>
      <w:hyperlink r:id="rId57" w:history="1">
        <w:r w:rsidR="00E9239B" w:rsidRPr="00956D84">
          <w:rPr>
            <w:rStyle w:val="Hiperhivatkozs"/>
            <w:lang w:val="en-US"/>
          </w:rPr>
          <w:t>https://www.law.cornell.edu/supremecourt/text/12-682</w:t>
        </w:r>
      </w:hyperlink>
    </w:p>
    <w:p w14:paraId="52AAB1F6" w14:textId="7BBAF628" w:rsidR="00043060" w:rsidRPr="00DE00DD" w:rsidRDefault="00043060" w:rsidP="00DE00DD">
      <w:pPr>
        <w:jc w:val="both"/>
        <w:rPr>
          <w:lang w:val="en-US"/>
        </w:rPr>
      </w:pPr>
      <w:r w:rsidRPr="00DE00DD">
        <w:rPr>
          <w:lang w:val="en-US"/>
        </w:rPr>
        <w:t>Students for Fair Admissions, Inc. v. President and Fellows of Harvard College </w:t>
      </w:r>
    </w:p>
    <w:p w14:paraId="4E825311" w14:textId="5E57E9B7" w:rsidR="00043060" w:rsidRDefault="00457092" w:rsidP="00E9239B">
      <w:pPr>
        <w:rPr>
          <w:rStyle w:val="Hiperhivatkozs"/>
          <w:lang w:val="en-US"/>
        </w:rPr>
      </w:pPr>
      <w:hyperlink r:id="rId58" w:history="1">
        <w:r w:rsidR="00043060" w:rsidRPr="005072A6">
          <w:rPr>
            <w:rStyle w:val="Hiperhivatkozs"/>
            <w:lang w:val="en-US"/>
          </w:rPr>
          <w:t>https://www.scotusblog.com/case-files/cases/students-for-fair-admissions-inc-v-president-fellows-of-harvard-college/</w:t>
        </w:r>
      </w:hyperlink>
    </w:p>
    <w:p w14:paraId="417EF03E" w14:textId="4CCB14FA" w:rsidR="00043060" w:rsidRDefault="00457092" w:rsidP="00E9239B">
      <w:pPr>
        <w:rPr>
          <w:rStyle w:val="Hiperhivatkozs"/>
          <w:lang w:val="en-US"/>
        </w:rPr>
      </w:pPr>
      <w:hyperlink r:id="rId59" w:history="1">
        <w:r w:rsidR="00043060" w:rsidRPr="005072A6">
          <w:rPr>
            <w:rStyle w:val="Hiperhivatkozs"/>
            <w:lang w:val="en-US"/>
          </w:rPr>
          <w:t>https://ballotpedia.org/Students_for_Fair_Admissions,_Inc._v._President_%26_Fellows_of_Harvard</w:t>
        </w:r>
      </w:hyperlink>
    </w:p>
    <w:p w14:paraId="345778F4" w14:textId="364EAD23" w:rsidR="00043060" w:rsidRDefault="00043060" w:rsidP="00E9239B">
      <w:pPr>
        <w:rPr>
          <w:rStyle w:val="Hiperhivatkozs"/>
          <w:lang w:val="en-US"/>
        </w:rPr>
      </w:pPr>
      <w:r w:rsidRPr="00043060">
        <w:rPr>
          <w:rStyle w:val="Hiperhivatkozs"/>
          <w:lang w:val="en-US"/>
        </w:rPr>
        <w:t>https://harvardlawreview.org/2021/05/students-for-fair-admissions-inc-v-president-and-fellows-of-harvard-college/</w:t>
      </w:r>
    </w:p>
    <w:p w14:paraId="1FC95672" w14:textId="77777777" w:rsidR="00043060" w:rsidRDefault="00043060" w:rsidP="00E9239B">
      <w:pPr>
        <w:rPr>
          <w:lang w:val="en-US"/>
        </w:rPr>
      </w:pPr>
    </w:p>
    <w:p w14:paraId="3F966D4E" w14:textId="77777777" w:rsidR="00E9239B" w:rsidRPr="00F6065C" w:rsidRDefault="00E9239B" w:rsidP="00E9239B">
      <w:pPr>
        <w:jc w:val="both"/>
        <w:rPr>
          <w:b/>
          <w:highlight w:val="darkGray"/>
          <w:lang w:val="en-US"/>
        </w:rPr>
      </w:pPr>
      <w:r w:rsidRPr="00F6065C">
        <w:rPr>
          <w:b/>
          <w:highlight w:val="darkGray"/>
          <w:lang w:val="en-US"/>
        </w:rPr>
        <w:t>Presentations</w:t>
      </w:r>
    </w:p>
    <w:p w14:paraId="161D54FE" w14:textId="2E390B8C" w:rsidR="00E9239B" w:rsidRPr="00F6065C" w:rsidRDefault="00E9239B" w:rsidP="00423F4A">
      <w:pPr>
        <w:numPr>
          <w:ilvl w:val="0"/>
          <w:numId w:val="30"/>
        </w:numPr>
        <w:jc w:val="both"/>
        <w:rPr>
          <w:b/>
          <w:highlight w:val="darkGray"/>
          <w:lang w:val="en-US"/>
        </w:rPr>
      </w:pPr>
      <w:r w:rsidRPr="00F6065C">
        <w:rPr>
          <w:b/>
          <w:highlight w:val="darkGray"/>
          <w:lang w:val="en-US"/>
        </w:rPr>
        <w:t>Reversed discrimination/Affirmative action: ph</w:t>
      </w:r>
      <w:r w:rsidR="00C13FFB">
        <w:rPr>
          <w:b/>
          <w:highlight w:val="darkGray"/>
          <w:lang w:val="en-US"/>
        </w:rPr>
        <w:t>ilosophical and policy dilemas</w:t>
      </w:r>
    </w:p>
    <w:p w14:paraId="366C18DA" w14:textId="7F830395" w:rsidR="00043060" w:rsidRPr="00423F4A" w:rsidRDefault="00E9239B" w:rsidP="00423F4A">
      <w:pPr>
        <w:numPr>
          <w:ilvl w:val="0"/>
          <w:numId w:val="30"/>
        </w:numPr>
        <w:jc w:val="both"/>
        <w:rPr>
          <w:b/>
          <w:highlight w:val="darkGray"/>
          <w:lang w:val="en-US"/>
        </w:rPr>
      </w:pPr>
      <w:r w:rsidRPr="00423F4A">
        <w:rPr>
          <w:b/>
          <w:highlight w:val="darkGray"/>
          <w:lang w:val="en-US"/>
        </w:rPr>
        <w:t xml:space="preserve">University of California Regents v. Bakke, 438 U.S. 265 (1978): </w:t>
      </w:r>
    </w:p>
    <w:p w14:paraId="1EDD63E8" w14:textId="77777777" w:rsidR="00E9239B" w:rsidRPr="00423F4A" w:rsidRDefault="00E9239B" w:rsidP="00423F4A">
      <w:pPr>
        <w:numPr>
          <w:ilvl w:val="0"/>
          <w:numId w:val="30"/>
        </w:numPr>
        <w:jc w:val="both"/>
        <w:rPr>
          <w:b/>
          <w:highlight w:val="darkGray"/>
          <w:lang w:val="en-US"/>
        </w:rPr>
      </w:pPr>
      <w:r w:rsidRPr="00423F4A">
        <w:rPr>
          <w:b/>
          <w:highlight w:val="darkGray"/>
          <w:lang w:val="en-US"/>
        </w:rPr>
        <w:t xml:space="preserve">Grutter v. Bollinger, </w:t>
      </w:r>
      <w:hyperlink r:id="rId60" w:tooltip="Case citation" w:history="1">
        <w:r w:rsidRPr="00423F4A">
          <w:rPr>
            <w:highlight w:val="darkGray"/>
          </w:rPr>
          <w:t>539 U.S. 306</w:t>
        </w:r>
      </w:hyperlink>
      <w:r w:rsidRPr="00423F4A">
        <w:rPr>
          <w:b/>
          <w:highlight w:val="darkGray"/>
          <w:lang w:val="en-US"/>
        </w:rPr>
        <w:t xml:space="preserve"> (2003) </w:t>
      </w:r>
    </w:p>
    <w:p w14:paraId="2E4E7893" w14:textId="77777777" w:rsidR="00E9239B" w:rsidRPr="00423F4A" w:rsidRDefault="00E9239B" w:rsidP="00423F4A">
      <w:pPr>
        <w:numPr>
          <w:ilvl w:val="0"/>
          <w:numId w:val="30"/>
        </w:numPr>
        <w:jc w:val="both"/>
        <w:rPr>
          <w:b/>
          <w:highlight w:val="darkGray"/>
          <w:lang w:val="en-US"/>
        </w:rPr>
      </w:pPr>
      <w:r w:rsidRPr="00423F4A">
        <w:rPr>
          <w:b/>
          <w:highlight w:val="darkGray"/>
          <w:lang w:val="en-US"/>
        </w:rPr>
        <w:t>Fisher v. Texas (2013)</w:t>
      </w:r>
    </w:p>
    <w:p w14:paraId="13746936" w14:textId="58F02DC8" w:rsidR="00E9239B" w:rsidRPr="00423F4A" w:rsidRDefault="00E9239B" w:rsidP="00423F4A">
      <w:pPr>
        <w:numPr>
          <w:ilvl w:val="0"/>
          <w:numId w:val="30"/>
        </w:numPr>
        <w:jc w:val="both"/>
        <w:rPr>
          <w:b/>
          <w:highlight w:val="darkGray"/>
          <w:lang w:val="en-US"/>
        </w:rPr>
      </w:pPr>
      <w:r w:rsidRPr="00423F4A">
        <w:rPr>
          <w:b/>
          <w:highlight w:val="darkGray"/>
          <w:lang w:val="en-US"/>
        </w:rPr>
        <w:t>Schuette v. Bamn (2014)</w:t>
      </w:r>
    </w:p>
    <w:p w14:paraId="1119487F" w14:textId="6CC992B8" w:rsidR="00043060" w:rsidRPr="00423F4A" w:rsidRDefault="00043060" w:rsidP="00423F4A">
      <w:pPr>
        <w:numPr>
          <w:ilvl w:val="0"/>
          <w:numId w:val="30"/>
        </w:numPr>
        <w:jc w:val="both"/>
        <w:rPr>
          <w:b/>
          <w:highlight w:val="darkGray"/>
          <w:lang w:val="en-US"/>
        </w:rPr>
      </w:pPr>
      <w:r w:rsidRPr="00423F4A">
        <w:rPr>
          <w:b/>
          <w:highlight w:val="darkGray"/>
          <w:lang w:val="en-US"/>
        </w:rPr>
        <w:t>Students for Fair Admissions, Inc. v. President and Fellows of Harvard College </w:t>
      </w:r>
    </w:p>
    <w:p w14:paraId="0C0E9F4C" w14:textId="3B0FA9CA" w:rsidR="00DE00DD" w:rsidRDefault="00DE00DD" w:rsidP="00423F4A">
      <w:pPr>
        <w:numPr>
          <w:ilvl w:val="0"/>
          <w:numId w:val="30"/>
        </w:numPr>
        <w:jc w:val="both"/>
        <w:rPr>
          <w:b/>
          <w:highlight w:val="darkGray"/>
          <w:lang w:val="en-US"/>
        </w:rPr>
      </w:pPr>
      <w:r w:rsidRPr="00423F4A">
        <w:rPr>
          <w:b/>
          <w:highlight w:val="darkGray"/>
          <w:lang w:val="en-US"/>
        </w:rPr>
        <w:t>legacy admissions</w:t>
      </w:r>
    </w:p>
    <w:p w14:paraId="5F559446" w14:textId="4DD4CC60" w:rsidR="00DE00DD" w:rsidRDefault="00457092" w:rsidP="00DE00DD">
      <w:pPr>
        <w:ind w:left="1440"/>
        <w:jc w:val="both"/>
        <w:rPr>
          <w:b/>
          <w:lang w:val="en-US"/>
        </w:rPr>
      </w:pPr>
      <w:hyperlink r:id="rId61" w:history="1">
        <w:r w:rsidR="00182AD0" w:rsidRPr="00821966">
          <w:rPr>
            <w:rStyle w:val="Hiperhivatkozs"/>
            <w:b/>
            <w:lang w:val="en-US"/>
          </w:rPr>
          <w:t>https://www.chronicle.com/article/feds-release-guidance-in-wake-of-supreme-courts-ruling-on-admissions</w:t>
        </w:r>
      </w:hyperlink>
    </w:p>
    <w:p w14:paraId="77B155A4" w14:textId="4EBFB4E4" w:rsidR="00182AD0" w:rsidRDefault="00182AD0" w:rsidP="00DE00DD">
      <w:pPr>
        <w:ind w:left="1440"/>
        <w:jc w:val="both"/>
        <w:rPr>
          <w:b/>
          <w:lang w:val="en-US"/>
        </w:rPr>
      </w:pPr>
      <w:r w:rsidRPr="00182AD0">
        <w:rPr>
          <w:b/>
          <w:lang w:val="en-US"/>
        </w:rPr>
        <w:t>https://www.nytimes.com/2023/07/26/us/legacy-admissions-colleges-universities.html</w:t>
      </w:r>
    </w:p>
    <w:p w14:paraId="7A1CBE8C" w14:textId="59C2841E" w:rsidR="00182AD0" w:rsidRDefault="00182AD0" w:rsidP="00DE00DD">
      <w:pPr>
        <w:ind w:left="1440"/>
        <w:jc w:val="both"/>
        <w:rPr>
          <w:b/>
          <w:lang w:val="en-US"/>
        </w:rPr>
      </w:pPr>
    </w:p>
    <w:p w14:paraId="16536791" w14:textId="77777777" w:rsidR="00182AD0" w:rsidRDefault="00182AD0" w:rsidP="00DE00DD">
      <w:pPr>
        <w:ind w:left="1440"/>
        <w:jc w:val="both"/>
        <w:rPr>
          <w:b/>
          <w:bCs/>
          <w:highlight w:val="darkGray"/>
          <w:lang w:val="en-US"/>
        </w:rPr>
      </w:pPr>
    </w:p>
    <w:p w14:paraId="0E8BA717" w14:textId="77777777" w:rsidR="00423F4A" w:rsidRPr="00AC22F9" w:rsidRDefault="00423F4A" w:rsidP="00423F4A">
      <w:pPr>
        <w:rPr>
          <w:b/>
          <w:color w:val="000000" w:themeColor="text1"/>
        </w:rPr>
      </w:pPr>
      <w:r w:rsidRPr="00AF2DA7">
        <w:rPr>
          <w:b/>
          <w:color w:val="000000" w:themeColor="text1"/>
        </w:rPr>
        <w:t xml:space="preserve">Class 7. November 8. </w:t>
      </w:r>
      <w:r w:rsidRPr="00AF2DA7">
        <w:rPr>
          <w:b/>
          <w:lang w:val="en-US"/>
        </w:rPr>
        <w:t>Special legal regimes I. Indigenous rights, refugee protection.</w:t>
      </w:r>
      <w:r w:rsidRPr="00AF2DA7">
        <w:rPr>
          <w:b/>
          <w:color w:val="000000" w:themeColor="text1"/>
        </w:rPr>
        <w:t xml:space="preserve"> Participation feedback.</w:t>
      </w:r>
      <w:r w:rsidRPr="0072696C">
        <w:rPr>
          <w:b/>
        </w:rPr>
        <w:t xml:space="preserve"> Discussing final paper and </w:t>
      </w:r>
      <w:r w:rsidRPr="00AC22F9">
        <w:rPr>
          <w:b/>
        </w:rPr>
        <w:t>presentation topics.</w:t>
      </w:r>
    </w:p>
    <w:p w14:paraId="113B4505" w14:textId="5D2E0372" w:rsidR="004B5C5A" w:rsidRPr="00CD34EF" w:rsidRDefault="004B5C5A" w:rsidP="004B5C5A">
      <w:pPr>
        <w:jc w:val="both"/>
        <w:rPr>
          <w:b/>
          <w:lang w:val="en-US"/>
        </w:rPr>
      </w:pPr>
    </w:p>
    <w:p w14:paraId="1E243E6B" w14:textId="747E3CFC" w:rsidR="00684C4F" w:rsidRDefault="00C13FFB" w:rsidP="00684C4F">
      <w:pPr>
        <w:jc w:val="both"/>
        <w:rPr>
          <w:i/>
          <w:iCs/>
          <w:lang w:val="en-US"/>
        </w:rPr>
      </w:pPr>
      <w:r>
        <w:rPr>
          <w:i/>
          <w:iCs/>
          <w:lang w:val="en-US"/>
        </w:rPr>
        <w:t>Mandatory r</w:t>
      </w:r>
      <w:r w:rsidR="00684C4F" w:rsidRPr="00CD34EF">
        <w:rPr>
          <w:i/>
          <w:iCs/>
          <w:lang w:val="en-US"/>
        </w:rPr>
        <w:t>e</w:t>
      </w:r>
      <w:r w:rsidR="00684C4F">
        <w:rPr>
          <w:i/>
          <w:iCs/>
          <w:lang w:val="en-US"/>
        </w:rPr>
        <w:t>adings</w:t>
      </w:r>
    </w:p>
    <w:p w14:paraId="75C99F88" w14:textId="42DDB977" w:rsidR="00684C4F" w:rsidRPr="00CD34EF" w:rsidRDefault="00684C4F" w:rsidP="00684C4F">
      <w:pPr>
        <w:jc w:val="both"/>
        <w:rPr>
          <w:bCs/>
          <w:lang w:val="en-US"/>
        </w:rPr>
      </w:pPr>
      <w:r w:rsidRPr="00CD34EF">
        <w:rPr>
          <w:bCs/>
          <w:lang w:val="en-US"/>
        </w:rPr>
        <w:t>Indigenous &amp; Tribal People’s Rights in Practice, A guide to ILO Convention No. 169., pp. 9-27</w:t>
      </w:r>
      <w:r w:rsidRPr="00684C4F">
        <w:rPr>
          <w:bCs/>
          <w:lang w:val="en-US"/>
        </w:rPr>
        <w:t>online/books/WCMS_171810/lang--en/index.htm</w:t>
      </w:r>
    </w:p>
    <w:p w14:paraId="1CA0736A" w14:textId="77777777" w:rsidR="00C13FFB" w:rsidRPr="0069113D" w:rsidRDefault="00C13FFB" w:rsidP="00C13FFB">
      <w:pPr>
        <w:shd w:val="clear" w:color="auto" w:fill="FFFFFF"/>
        <w:jc w:val="both"/>
        <w:textAlignment w:val="baseline"/>
        <w:rPr>
          <w:rFonts w:eastAsia="Calibri"/>
          <w:lang w:val="en-US" w:eastAsia="en-US"/>
        </w:rPr>
      </w:pPr>
      <w:r w:rsidRPr="0069113D">
        <w:rPr>
          <w:rFonts w:eastAsia="Calibri"/>
          <w:lang w:val="en-US" w:eastAsia="en-US"/>
        </w:rPr>
        <w:lastRenderedPageBreak/>
        <w:t>UN Convention on Refugees </w:t>
      </w:r>
    </w:p>
    <w:p w14:paraId="527876DF" w14:textId="77777777" w:rsidR="00C13FFB" w:rsidRPr="0069113D" w:rsidRDefault="00457092" w:rsidP="00C13FFB">
      <w:pPr>
        <w:shd w:val="clear" w:color="auto" w:fill="FFFFFF"/>
        <w:jc w:val="both"/>
        <w:textAlignment w:val="baseline"/>
        <w:rPr>
          <w:rFonts w:eastAsia="Calibri"/>
          <w:lang w:val="en-US" w:eastAsia="en-US"/>
        </w:rPr>
      </w:pPr>
      <w:hyperlink r:id="rId62" w:tgtFrame="_blank" w:history="1">
        <w:r w:rsidR="00C13FFB" w:rsidRPr="0069113D">
          <w:rPr>
            <w:rFonts w:eastAsia="Calibri"/>
            <w:lang w:val="en-US" w:eastAsia="en-US"/>
          </w:rPr>
          <w:t>https://www.ohchr.org/EN/ProfessionalInterest/Pages/StatusOfRefugees.aspx</w:t>
        </w:r>
      </w:hyperlink>
      <w:r w:rsidR="00C13FFB" w:rsidRPr="0069113D">
        <w:rPr>
          <w:rFonts w:eastAsia="Calibri"/>
          <w:lang w:val="en-US" w:eastAsia="en-US"/>
        </w:rPr>
        <w:t> </w:t>
      </w:r>
    </w:p>
    <w:p w14:paraId="74809F98" w14:textId="77777777" w:rsidR="00C13FFB" w:rsidRPr="00CD34EF" w:rsidRDefault="00C13FFB" w:rsidP="00C13FFB">
      <w:pPr>
        <w:jc w:val="both"/>
        <w:rPr>
          <w:lang w:val="en-US"/>
        </w:rPr>
      </w:pPr>
      <w:r w:rsidRPr="00CD34EF">
        <w:rPr>
          <w:i/>
          <w:iCs/>
          <w:lang w:val="en-US"/>
        </w:rPr>
        <w:t>Recommended</w:t>
      </w:r>
      <w:r>
        <w:rPr>
          <w:lang w:val="en-US"/>
        </w:rPr>
        <w:t xml:space="preserve"> </w:t>
      </w:r>
      <w:r w:rsidRPr="00E9239B">
        <w:rPr>
          <w:i/>
          <w:iCs/>
          <w:lang w:val="en-US"/>
        </w:rPr>
        <w:t>readings</w:t>
      </w:r>
    </w:p>
    <w:p w14:paraId="6EF06327" w14:textId="77777777" w:rsidR="00684C4F" w:rsidRPr="00CD34EF" w:rsidRDefault="00684C4F" w:rsidP="00684C4F">
      <w:pPr>
        <w:jc w:val="both"/>
        <w:rPr>
          <w:lang w:val="en-US"/>
        </w:rPr>
      </w:pPr>
      <w:r w:rsidRPr="00CD34EF">
        <w:rPr>
          <w:lang w:val="en-US"/>
        </w:rPr>
        <w:t xml:space="preserve">Giovanna Gismondi: Denial of Justice: The Latest Indigenous Land Disputes Before the European Court of Human Rights and the Need for an Expansive Interpretation of Protocol 1. </w:t>
      </w:r>
    </w:p>
    <w:p w14:paraId="3D83A8DD" w14:textId="43325537" w:rsidR="00684C4F" w:rsidRDefault="00457092" w:rsidP="00684C4F">
      <w:pPr>
        <w:jc w:val="both"/>
      </w:pPr>
      <w:hyperlink r:id="rId63" w:history="1">
        <w:r w:rsidR="00684C4F" w:rsidRPr="00956D84">
          <w:rPr>
            <w:rStyle w:val="Hiperhivatkozs"/>
          </w:rPr>
          <w:t>https://digitalcommons.law.yale.edu/cgi/viewcontent.cgi?referer=&amp;httpsredir=1&amp;article=1136&amp;context=yhrdlj</w:t>
        </w:r>
      </w:hyperlink>
    </w:p>
    <w:p w14:paraId="7CFBF24C" w14:textId="57B79FD6" w:rsidR="004B5C5A" w:rsidRDefault="004B5C5A" w:rsidP="00684C4F">
      <w:pPr>
        <w:jc w:val="both"/>
      </w:pPr>
      <w:r>
        <w:t>Jose Aylwin – Johannes Rohr: The UN Guiding Principles on Business &amp; Human Rights and Indigenous Peoples Progress achieved, the implementation gap and challenges for the next Decade, 2021</w:t>
      </w:r>
    </w:p>
    <w:p w14:paraId="3A7BAD62" w14:textId="5699029C" w:rsidR="004B5C5A" w:rsidRDefault="004B5C5A" w:rsidP="00684C4F">
      <w:pPr>
        <w:jc w:val="both"/>
      </w:pPr>
      <w:r w:rsidRPr="004B5C5A">
        <w:t>https://www.iwgia.org/en/resources/publications/305-books/4419-the-un-guiding-principles-on-business-human-rights-and-indigenous-peoples-%E2%80%93-progress-achieved,-the-implementation-gap-and-challenges-for-the-next-decade.html</w:t>
      </w:r>
    </w:p>
    <w:p w14:paraId="0F58384A" w14:textId="77777777" w:rsidR="00225C67" w:rsidRPr="00CD34EF" w:rsidRDefault="00225C67" w:rsidP="00225C67">
      <w:pPr>
        <w:jc w:val="both"/>
        <w:rPr>
          <w:lang w:val="en-US"/>
        </w:rPr>
      </w:pPr>
      <w:r w:rsidRPr="00CD34EF">
        <w:rPr>
          <w:lang w:val="en-US"/>
        </w:rPr>
        <w:t>ILO Convention on Indigenous and Tribal Populations, 1957 (No.107)</w:t>
      </w:r>
    </w:p>
    <w:p w14:paraId="284519FA" w14:textId="77777777" w:rsidR="00287EAB" w:rsidRDefault="00287EAB" w:rsidP="00225C67">
      <w:pPr>
        <w:jc w:val="both"/>
        <w:rPr>
          <w:bCs/>
          <w:lang w:val="en-US"/>
        </w:rPr>
      </w:pPr>
      <w:r w:rsidRPr="00287EAB">
        <w:rPr>
          <w:bCs/>
          <w:lang w:val="en-US"/>
        </w:rPr>
        <w:t xml:space="preserve">https://www.ilo.org/dyn/normlex/en/f?p=NORMLEXPUB:12100:0::NO::P12100_ILO_CODE:C107 </w:t>
      </w:r>
    </w:p>
    <w:p w14:paraId="467423EF" w14:textId="6D4883E0" w:rsidR="00225C67" w:rsidRPr="00CD34EF" w:rsidRDefault="00225C67" w:rsidP="00225C67">
      <w:pPr>
        <w:jc w:val="both"/>
        <w:rPr>
          <w:bCs/>
          <w:lang w:val="en-US"/>
        </w:rPr>
      </w:pPr>
      <w:r w:rsidRPr="00CD34EF">
        <w:rPr>
          <w:bCs/>
          <w:lang w:val="en-US"/>
        </w:rPr>
        <w:t>ILO Convention concerning Indigenous and Tribal Peoples in Independent Countries (19</w:t>
      </w:r>
      <w:r w:rsidR="00287EAB">
        <w:rPr>
          <w:bCs/>
          <w:lang w:val="en-US"/>
        </w:rPr>
        <w:t>89</w:t>
      </w:r>
      <w:r w:rsidRPr="00CD34EF">
        <w:rPr>
          <w:bCs/>
          <w:lang w:val="en-US"/>
        </w:rPr>
        <w:t>)</w:t>
      </w:r>
    </w:p>
    <w:p w14:paraId="1DE4D767" w14:textId="77777777" w:rsidR="00287EAB" w:rsidRDefault="00287EAB" w:rsidP="00225C67">
      <w:pPr>
        <w:jc w:val="both"/>
        <w:rPr>
          <w:bCs/>
          <w:lang w:val="en-US"/>
        </w:rPr>
      </w:pPr>
      <w:r w:rsidRPr="00287EAB">
        <w:rPr>
          <w:bCs/>
          <w:lang w:val="en-US"/>
        </w:rPr>
        <w:t xml:space="preserve">https://www.ilo.org/dyn/normlex/en/f?p=NORMLEXPUB:12100:0::NO::P12100_ILO_CODE:C169 </w:t>
      </w:r>
    </w:p>
    <w:p w14:paraId="70935260" w14:textId="7DE03882" w:rsidR="00225C67" w:rsidRPr="00CD34EF" w:rsidRDefault="00225C67" w:rsidP="00225C67">
      <w:pPr>
        <w:jc w:val="both"/>
        <w:rPr>
          <w:bCs/>
          <w:lang w:val="en-US"/>
        </w:rPr>
      </w:pPr>
      <w:r w:rsidRPr="00CD34EF">
        <w:rPr>
          <w:bCs/>
          <w:lang w:val="en-US"/>
        </w:rPr>
        <w:t>UN Declaration on the Rights of Indigenous Peoples (2007)</w:t>
      </w:r>
    </w:p>
    <w:p w14:paraId="1B3E5961" w14:textId="77777777" w:rsidR="00287EAB" w:rsidRDefault="00287EAB" w:rsidP="00684C4F">
      <w:pPr>
        <w:jc w:val="both"/>
        <w:rPr>
          <w:bCs/>
          <w:lang w:val="en-US"/>
        </w:rPr>
      </w:pPr>
      <w:r w:rsidRPr="00287EAB">
        <w:rPr>
          <w:bCs/>
          <w:lang w:val="en-US"/>
        </w:rPr>
        <w:t xml:space="preserve">https://www.un.org/development/desa/indigenouspeoples/declaration-on-the-rights-of-indigenous-peoples.html </w:t>
      </w:r>
    </w:p>
    <w:p w14:paraId="2BF97B57" w14:textId="239160E1" w:rsidR="00684C4F" w:rsidRPr="00684C4F" w:rsidRDefault="00684C4F" w:rsidP="00684C4F">
      <w:pPr>
        <w:jc w:val="both"/>
        <w:rPr>
          <w:bCs/>
          <w:lang w:val="en-US"/>
        </w:rPr>
      </w:pPr>
      <w:r w:rsidRPr="00684C4F">
        <w:rPr>
          <w:bCs/>
          <w:lang w:val="en-US"/>
        </w:rPr>
        <w:t xml:space="preserve">Banda, Fareda –Chinkin, Christine: Gender, Minorities and Indigenous Peoples, pp. 1-36. </w:t>
      </w:r>
    </w:p>
    <w:p w14:paraId="1CFD77B3" w14:textId="77777777" w:rsidR="00684C4F" w:rsidRPr="00684C4F" w:rsidRDefault="00684C4F" w:rsidP="00684C4F">
      <w:pPr>
        <w:jc w:val="both"/>
        <w:rPr>
          <w:lang w:val="en-US"/>
        </w:rPr>
      </w:pPr>
      <w:r w:rsidRPr="00684C4F">
        <w:rPr>
          <w:lang w:val="en-US"/>
        </w:rPr>
        <w:t>https://minorityrights.org/wp-content/uploads/old-site-downloads/download-115-Gender-Minorities-and-Indigenous-Peoples.pdf</w:t>
      </w:r>
    </w:p>
    <w:p w14:paraId="442C87CE" w14:textId="470E7B5B" w:rsidR="00225C67" w:rsidRPr="00225C67" w:rsidRDefault="00225C67" w:rsidP="00225C67">
      <w:pPr>
        <w:jc w:val="both"/>
        <w:rPr>
          <w:bCs/>
          <w:lang w:val="en-US"/>
        </w:rPr>
      </w:pPr>
      <w:r w:rsidRPr="00225C67">
        <w:rPr>
          <w:bCs/>
          <w:lang w:val="en-US"/>
        </w:rPr>
        <w:t>Sandra Lovelace v. Canada, Communication No. 24/1977: Canada 30/07/81, UN Doc. CCPR/C/13/D/24/1977.</w:t>
      </w:r>
    </w:p>
    <w:p w14:paraId="119F3AD0" w14:textId="268D22B4" w:rsidR="00225C67" w:rsidRPr="00225C67" w:rsidRDefault="00225C67" w:rsidP="00225C67">
      <w:pPr>
        <w:jc w:val="both"/>
        <w:rPr>
          <w:bCs/>
          <w:lang w:val="en-US"/>
        </w:rPr>
      </w:pPr>
      <w:r w:rsidRPr="00225C67">
        <w:rPr>
          <w:bCs/>
          <w:lang w:val="en-US"/>
        </w:rPr>
        <w:t>https://www.escr-net.org/caselaw/2010/sandra-lovelace-v-canada-communication-no-241977-canada-300781-un-doc-ccprc13d241977</w:t>
      </w:r>
    </w:p>
    <w:p w14:paraId="4DE9D23B" w14:textId="77777777" w:rsidR="008808CB" w:rsidRPr="00225C67" w:rsidRDefault="008808CB" w:rsidP="008808CB">
      <w:pPr>
        <w:shd w:val="clear" w:color="auto" w:fill="FFFFFF"/>
        <w:jc w:val="both"/>
        <w:rPr>
          <w:color w:val="222222"/>
          <w:lang w:val="en-US"/>
        </w:rPr>
      </w:pPr>
      <w:r w:rsidRPr="00225C67">
        <w:rPr>
          <w:color w:val="222222"/>
          <w:lang w:val="en-US"/>
        </w:rPr>
        <w:t>Mississippi Band of Choctaw Indians v. Holyfield, 490 U.S. 30 (1989)</w:t>
      </w:r>
    </w:p>
    <w:p w14:paraId="179C4114" w14:textId="40B77A32" w:rsidR="00225C67" w:rsidRPr="00225C67" w:rsidRDefault="00457092" w:rsidP="008808CB">
      <w:pPr>
        <w:jc w:val="both"/>
        <w:rPr>
          <w:lang w:val="en-US"/>
        </w:rPr>
      </w:pPr>
      <w:hyperlink r:id="rId64" w:history="1">
        <w:r w:rsidR="00225C67" w:rsidRPr="00225C67">
          <w:rPr>
            <w:rStyle w:val="Hiperhivatkozs"/>
            <w:lang w:val="en-US"/>
          </w:rPr>
          <w:t>https://supreme.justia.com/cases/federal/us/490/30/</w:t>
        </w:r>
      </w:hyperlink>
    </w:p>
    <w:p w14:paraId="1E330684" w14:textId="322D86E1" w:rsidR="008808CB" w:rsidRPr="00225C67" w:rsidRDefault="008808CB" w:rsidP="008808CB">
      <w:pPr>
        <w:jc w:val="both"/>
        <w:rPr>
          <w:lang w:val="en-US"/>
        </w:rPr>
      </w:pPr>
      <w:r w:rsidRPr="00225C67">
        <w:rPr>
          <w:lang w:val="en-US"/>
        </w:rPr>
        <w:t>Adoptive couple v. Baby girl</w:t>
      </w:r>
    </w:p>
    <w:p w14:paraId="79A4E7CE" w14:textId="5BB6D9C5" w:rsidR="00225C67" w:rsidRPr="00225C67" w:rsidRDefault="00457092" w:rsidP="008808CB">
      <w:pPr>
        <w:autoSpaceDE w:val="0"/>
        <w:autoSpaceDN w:val="0"/>
        <w:adjustRightInd w:val="0"/>
        <w:jc w:val="both"/>
        <w:outlineLvl w:val="0"/>
        <w:rPr>
          <w:bCs/>
          <w:lang w:val="en-US"/>
        </w:rPr>
      </w:pPr>
      <w:hyperlink r:id="rId65" w:history="1">
        <w:r w:rsidR="00225C67" w:rsidRPr="00225C67">
          <w:rPr>
            <w:rStyle w:val="Hiperhivatkozs"/>
            <w:bCs/>
            <w:lang w:val="en-US"/>
          </w:rPr>
          <w:t>https://www.oyez.org/cases/2012/12-399</w:t>
        </w:r>
      </w:hyperlink>
    </w:p>
    <w:p w14:paraId="268DAAB4" w14:textId="5466750A" w:rsidR="008808CB" w:rsidRPr="00225C67" w:rsidRDefault="008808CB" w:rsidP="008808CB">
      <w:pPr>
        <w:autoSpaceDE w:val="0"/>
        <w:autoSpaceDN w:val="0"/>
        <w:adjustRightInd w:val="0"/>
        <w:jc w:val="both"/>
        <w:outlineLvl w:val="0"/>
        <w:rPr>
          <w:bCs/>
          <w:iCs/>
          <w:lang w:val="en-US"/>
        </w:rPr>
      </w:pPr>
      <w:r w:rsidRPr="00225C67">
        <w:rPr>
          <w:bCs/>
          <w:lang w:val="en-US"/>
        </w:rPr>
        <w:t>Solangel Maldonado: Race, culture, and adoption: lessons from M</w:t>
      </w:r>
      <w:r w:rsidRPr="00225C67">
        <w:rPr>
          <w:bCs/>
          <w:iCs/>
          <w:lang w:val="en-US"/>
        </w:rPr>
        <w:t>ississippi band of Chocta w Indians v. Holyfield</w:t>
      </w:r>
    </w:p>
    <w:p w14:paraId="779501B9" w14:textId="3C0B1765" w:rsidR="00420600" w:rsidRDefault="00420600" w:rsidP="00420600">
      <w:pPr>
        <w:pBdr>
          <w:bottom w:val="single" w:sz="6" w:space="0" w:color="AAAAAA"/>
        </w:pBdr>
        <w:spacing w:after="60"/>
        <w:jc w:val="both"/>
        <w:outlineLvl w:val="0"/>
        <w:rPr>
          <w:iCs/>
          <w:color w:val="000000"/>
          <w:kern w:val="36"/>
          <w:lang w:val="en-US"/>
        </w:rPr>
      </w:pPr>
      <w:r w:rsidRPr="00225C67">
        <w:rPr>
          <w:iCs/>
          <w:color w:val="000000"/>
          <w:kern w:val="36"/>
          <w:lang w:val="en-US"/>
        </w:rPr>
        <w:t>Mashpee Tribe v. New Seabury Corp.</w:t>
      </w:r>
    </w:p>
    <w:p w14:paraId="108D44F4" w14:textId="50AF19C5" w:rsidR="00225C67" w:rsidRPr="00CD34EF" w:rsidRDefault="00225C67" w:rsidP="00420600">
      <w:pPr>
        <w:pBdr>
          <w:bottom w:val="single" w:sz="6" w:space="0" w:color="AAAAAA"/>
        </w:pBdr>
        <w:spacing w:after="60"/>
        <w:jc w:val="both"/>
        <w:outlineLvl w:val="0"/>
        <w:rPr>
          <w:iCs/>
          <w:color w:val="000000"/>
          <w:kern w:val="36"/>
          <w:lang w:val="en-US"/>
        </w:rPr>
      </w:pPr>
      <w:r w:rsidRPr="00225C67">
        <w:rPr>
          <w:iCs/>
          <w:color w:val="000000"/>
          <w:kern w:val="36"/>
          <w:lang w:val="en-US"/>
        </w:rPr>
        <w:t>https://www.casemine.com/judgement/us/5914c544add7b049347d2f32</w:t>
      </w:r>
    </w:p>
    <w:p w14:paraId="541D0E02" w14:textId="285BCEA2" w:rsidR="00420600" w:rsidRPr="00CD34EF" w:rsidRDefault="00420600" w:rsidP="00420600">
      <w:pPr>
        <w:jc w:val="both"/>
        <w:rPr>
          <w:lang w:val="en-US"/>
        </w:rPr>
      </w:pPr>
      <w:r w:rsidRPr="00CD34EF">
        <w:rPr>
          <w:lang w:val="en-US"/>
        </w:rPr>
        <w:t>Rice v. Cayetano</w:t>
      </w:r>
    </w:p>
    <w:p w14:paraId="6735C75B" w14:textId="29505033" w:rsidR="00225C67" w:rsidRDefault="00457092" w:rsidP="00420600">
      <w:pPr>
        <w:jc w:val="both"/>
        <w:rPr>
          <w:lang w:val="en-US"/>
        </w:rPr>
      </w:pPr>
      <w:hyperlink r:id="rId66" w:history="1">
        <w:r w:rsidR="00225C67" w:rsidRPr="00956D84">
          <w:rPr>
            <w:rStyle w:val="Hiperhivatkozs"/>
            <w:lang w:val="en-US"/>
          </w:rPr>
          <w:t>https://www.oyez.org/cases/1999/98-818</w:t>
        </w:r>
      </w:hyperlink>
    </w:p>
    <w:p w14:paraId="79AF3BF7" w14:textId="1C70303A" w:rsidR="00420600" w:rsidRPr="00CD34EF" w:rsidRDefault="00420600" w:rsidP="00420600">
      <w:pPr>
        <w:jc w:val="both"/>
        <w:rPr>
          <w:lang w:val="en-US"/>
        </w:rPr>
      </w:pPr>
      <w:r w:rsidRPr="00CD34EF">
        <w:rPr>
          <w:lang w:val="en-US"/>
        </w:rPr>
        <w:t>Morton v Mancari</w:t>
      </w:r>
    </w:p>
    <w:p w14:paraId="4BE8AD7E" w14:textId="2C889D1A" w:rsidR="00225C67" w:rsidRDefault="00457092" w:rsidP="00420600">
      <w:pPr>
        <w:jc w:val="both"/>
        <w:rPr>
          <w:lang w:val="en-US"/>
        </w:rPr>
      </w:pPr>
      <w:hyperlink r:id="rId67" w:history="1">
        <w:r w:rsidR="00225C67" w:rsidRPr="00956D84">
          <w:rPr>
            <w:rStyle w:val="Hiperhivatkozs"/>
            <w:lang w:val="en-US"/>
          </w:rPr>
          <w:t>https://supreme.justia.com/cases/federal/us/417/535/</w:t>
        </w:r>
      </w:hyperlink>
    </w:p>
    <w:p w14:paraId="529C5962" w14:textId="7666416B" w:rsidR="00420600" w:rsidRPr="00CD34EF" w:rsidRDefault="00420600" w:rsidP="00420600">
      <w:pPr>
        <w:jc w:val="both"/>
        <w:rPr>
          <w:lang w:val="en-US"/>
        </w:rPr>
      </w:pPr>
      <w:r w:rsidRPr="00CD34EF">
        <w:rPr>
          <w:lang w:val="en-US"/>
        </w:rPr>
        <w:t>Cuison Villazor, Rose: Blood Quantum Land Laws and the Race versus Political Identity Dilemma, California Law Review, June, 2008, pp. 16</w:t>
      </w:r>
    </w:p>
    <w:p w14:paraId="5B96DBBC" w14:textId="00653D86" w:rsidR="00684C4F" w:rsidRDefault="00457092" w:rsidP="001915FF">
      <w:pPr>
        <w:rPr>
          <w:lang w:val="en-US"/>
        </w:rPr>
      </w:pPr>
      <w:hyperlink r:id="rId68" w:history="1">
        <w:r w:rsidR="00684C4F" w:rsidRPr="00956D84">
          <w:rPr>
            <w:rStyle w:val="Hiperhivatkozs"/>
            <w:lang w:val="en-US"/>
          </w:rPr>
          <w:t>https://www.semanticscholar.org/paper/Blood-Quantum-Land-Laws-and-the-Race-versus-Dilemma-Villazor/36e2db510eec601f6a6afb6d2dd8a472a1d9c53b</w:t>
        </w:r>
      </w:hyperlink>
    </w:p>
    <w:p w14:paraId="13E930E9" w14:textId="10A38116" w:rsidR="001915FF" w:rsidRDefault="001915FF" w:rsidP="001915FF">
      <w:pPr>
        <w:rPr>
          <w:lang w:val="en-US"/>
        </w:rPr>
      </w:pPr>
      <w:r w:rsidRPr="00CD34EF">
        <w:rPr>
          <w:lang w:val="en-US"/>
        </w:rPr>
        <w:t>Samantha K. Nikic, Liberte, Egalite, Fraternite: The United Nations Declaration of the Rights of Indigenous Peoples Fails to Protect Hopi</w:t>
      </w:r>
      <w:r w:rsidR="00684C4F">
        <w:rPr>
          <w:lang w:val="en-US"/>
        </w:rPr>
        <w:t xml:space="preserve">  </w:t>
      </w:r>
      <w:r w:rsidRPr="00CD34EF">
        <w:rPr>
          <w:lang w:val="en-US"/>
        </w:rPr>
        <w:t>Katsinam from the Auction Block in France, 41 Brook. J. Int'l L. (2015).</w:t>
      </w:r>
    </w:p>
    <w:p w14:paraId="6B9BE695" w14:textId="13F688C7" w:rsidR="00684C4F" w:rsidRDefault="00457092" w:rsidP="001915FF">
      <w:pPr>
        <w:rPr>
          <w:lang w:val="en-US"/>
        </w:rPr>
      </w:pPr>
      <w:hyperlink r:id="rId69" w:history="1">
        <w:r w:rsidR="00E1453D" w:rsidRPr="00423F4A">
          <w:t>https://brooklynworks.brooklaw.edu/bjil/vol41/iss1/9/</w:t>
        </w:r>
      </w:hyperlink>
    </w:p>
    <w:p w14:paraId="4B911298" w14:textId="77777777" w:rsidR="00423F4A" w:rsidRPr="00423F4A" w:rsidRDefault="00423F4A" w:rsidP="00423F4A">
      <w:pPr>
        <w:pStyle w:val="Cmsor1"/>
        <w:shd w:val="clear" w:color="auto" w:fill="FFFFFF"/>
        <w:spacing w:before="0" w:beforeAutospacing="0" w:after="0" w:afterAutospacing="0"/>
        <w:rPr>
          <w:b w:val="0"/>
          <w:bCs w:val="0"/>
          <w:kern w:val="0"/>
          <w:sz w:val="24"/>
          <w:szCs w:val="24"/>
          <w:lang w:val="en-US"/>
        </w:rPr>
      </w:pPr>
      <w:r w:rsidRPr="00423F4A">
        <w:rPr>
          <w:b w:val="0"/>
          <w:bCs w:val="0"/>
          <w:kern w:val="0"/>
          <w:sz w:val="24"/>
          <w:szCs w:val="24"/>
          <w:lang w:val="en-US"/>
        </w:rPr>
        <w:t>Haaland v. Brackeen</w:t>
      </w:r>
    </w:p>
    <w:p w14:paraId="671D368D" w14:textId="07F7738B" w:rsidR="00423F4A" w:rsidRDefault="00423F4A" w:rsidP="00E1453D">
      <w:pPr>
        <w:shd w:val="clear" w:color="auto" w:fill="FFFFFF"/>
        <w:jc w:val="both"/>
        <w:textAlignment w:val="baseline"/>
        <w:rPr>
          <w:lang w:val="en-US"/>
        </w:rPr>
      </w:pPr>
      <w:r w:rsidRPr="00423F4A">
        <w:rPr>
          <w:lang w:val="en-US"/>
        </w:rPr>
        <w:lastRenderedPageBreak/>
        <w:t>/https://www.supremecourt.gov/opinions/22pdf/21-376_7l48.pdf</w:t>
      </w:r>
    </w:p>
    <w:p w14:paraId="781C958A" w14:textId="77777777" w:rsidR="00072432" w:rsidRPr="008E0F1A" w:rsidRDefault="00072432" w:rsidP="00072432">
      <w:pPr>
        <w:autoSpaceDE w:val="0"/>
        <w:autoSpaceDN w:val="0"/>
        <w:adjustRightInd w:val="0"/>
        <w:jc w:val="both"/>
      </w:pPr>
      <w:r w:rsidRPr="008E0F1A">
        <w:t>Jessica Dixon Weaver, The Changing Tides of Adoption: Why Marriage, Race, and Family Identity Still Matter, 71 SMU L. REV. 159 (2018)</w:t>
      </w:r>
    </w:p>
    <w:p w14:paraId="7BA1C824" w14:textId="77777777" w:rsidR="00072432" w:rsidRPr="008E0F1A" w:rsidRDefault="00457092" w:rsidP="00072432">
      <w:pPr>
        <w:pStyle w:val="Lbjegyzetszveg"/>
        <w:jc w:val="both"/>
        <w:rPr>
          <w:rFonts w:ascii="Times New Roman" w:hAnsi="Times New Roman" w:cs="Times New Roman"/>
          <w:sz w:val="24"/>
          <w:szCs w:val="24"/>
        </w:rPr>
      </w:pPr>
      <w:hyperlink r:id="rId70" w:history="1">
        <w:r w:rsidR="00072432" w:rsidRPr="008E0F1A">
          <w:rPr>
            <w:rFonts w:ascii="Times New Roman" w:hAnsi="Times New Roman" w:cs="Times New Roman"/>
            <w:sz w:val="24"/>
            <w:szCs w:val="24"/>
          </w:rPr>
          <w:t>https://scholar.smu.edu/smulr/vol71/iss1/14/</w:t>
        </w:r>
      </w:hyperlink>
    </w:p>
    <w:p w14:paraId="0887F468" w14:textId="77777777" w:rsidR="00072432" w:rsidRPr="008E0F1A" w:rsidRDefault="00072432" w:rsidP="00072432">
      <w:pPr>
        <w:pStyle w:val="Lbjegyzetszveg"/>
        <w:jc w:val="both"/>
        <w:rPr>
          <w:rFonts w:ascii="Times New Roman" w:hAnsi="Times New Roman" w:cs="Times New Roman"/>
          <w:sz w:val="24"/>
          <w:szCs w:val="24"/>
        </w:rPr>
      </w:pPr>
      <w:r w:rsidRPr="008E0F1A">
        <w:rPr>
          <w:rFonts w:ascii="Times New Roman" w:hAnsi="Times New Roman" w:cs="Times New Roman"/>
          <w:sz w:val="24"/>
          <w:szCs w:val="24"/>
        </w:rPr>
        <w:t>Jennings, P. K. (2006). The Trouble with the Multiethnic Placement Act: An Empirical Look at Transracial Adoption. Sociological Perspectives, 49(4), 559–581. </w:t>
      </w:r>
      <w:hyperlink r:id="rId71" w:history="1">
        <w:r w:rsidRPr="008E0F1A">
          <w:rPr>
            <w:rFonts w:ascii="Times New Roman" w:hAnsi="Times New Roman" w:cs="Times New Roman"/>
            <w:sz w:val="24"/>
            <w:szCs w:val="24"/>
          </w:rPr>
          <w:t>https://doi.org/10.1525/sop.2006.49.4.559</w:t>
        </w:r>
      </w:hyperlink>
    </w:p>
    <w:p w14:paraId="62B7FFD6" w14:textId="77777777" w:rsidR="00072432" w:rsidRPr="008E0F1A" w:rsidRDefault="00072432" w:rsidP="00072432">
      <w:pPr>
        <w:pStyle w:val="Lbjegyzetszveg"/>
        <w:jc w:val="both"/>
        <w:rPr>
          <w:rFonts w:ascii="Times New Roman" w:hAnsi="Times New Roman" w:cs="Times New Roman"/>
          <w:sz w:val="24"/>
          <w:szCs w:val="24"/>
        </w:rPr>
      </w:pPr>
      <w:r w:rsidRPr="008E0F1A">
        <w:rPr>
          <w:rFonts w:ascii="Times New Roman" w:hAnsi="Times New Roman" w:cs="Times New Roman"/>
          <w:sz w:val="24"/>
          <w:szCs w:val="24"/>
        </w:rPr>
        <w:t>https://journals.sagepub.com/doi/pdf/10.1525/sop.2006.49.4.559?casa_token=7hoQqIUee0EAAAAA:2fpaIGo6s9zwItm2mHQ8h4yRUSUBN8T5H4JnSRmpb7UsTqOUChdwS1rDoDOjBiOGhxPG6sGIyMM</w:t>
      </w:r>
    </w:p>
    <w:p w14:paraId="47DEAE93" w14:textId="77777777" w:rsidR="00072432" w:rsidRPr="008E0F1A" w:rsidRDefault="00072432" w:rsidP="00072432">
      <w:r w:rsidRPr="008E0F1A">
        <w:t>Bartlett, K. T. (1999). Comparing Race and Sex Discrimination in Custody Cases. Hofstra L. Rev., 28, 877.</w:t>
      </w:r>
    </w:p>
    <w:p w14:paraId="44DC2494" w14:textId="77777777" w:rsidR="00072432" w:rsidRPr="008E0F1A" w:rsidRDefault="00072432" w:rsidP="00072432">
      <w:pPr>
        <w:pStyle w:val="Cmsor1"/>
        <w:spacing w:before="0" w:beforeAutospacing="0" w:after="150" w:afterAutospacing="0"/>
        <w:rPr>
          <w:rFonts w:eastAsiaTheme="minorHAnsi"/>
          <w:b w:val="0"/>
          <w:bCs w:val="0"/>
          <w:kern w:val="0"/>
          <w:sz w:val="24"/>
          <w:szCs w:val="24"/>
          <w:lang w:val="en-US" w:eastAsia="en-US"/>
        </w:rPr>
      </w:pPr>
      <w:r w:rsidRPr="008E0F1A">
        <w:rPr>
          <w:rFonts w:eastAsiaTheme="minorHAnsi"/>
          <w:b w:val="0"/>
          <w:bCs w:val="0"/>
          <w:kern w:val="0"/>
          <w:sz w:val="24"/>
          <w:szCs w:val="24"/>
          <w:lang w:val="en-US" w:eastAsia="en-US"/>
        </w:rPr>
        <w:t>Palmore v. Sidoti, 466 U.S. 429 (1984)</w:t>
      </w:r>
    </w:p>
    <w:p w14:paraId="4C74202D" w14:textId="77777777" w:rsidR="00072432" w:rsidRPr="008E0F1A" w:rsidRDefault="00072432" w:rsidP="00072432">
      <w:pPr>
        <w:jc w:val="both"/>
        <w:rPr>
          <w:lang w:val="en-US"/>
        </w:rPr>
      </w:pPr>
      <w:r w:rsidRPr="008E0F1A">
        <w:rPr>
          <w:lang w:val="en-US"/>
        </w:rPr>
        <w:t>https://supreme.justia.com/cases/federal/us/466/429/</w:t>
      </w:r>
    </w:p>
    <w:p w14:paraId="1E033318" w14:textId="77777777" w:rsidR="00072432" w:rsidRPr="008E0F1A" w:rsidRDefault="00072432" w:rsidP="00072432">
      <w:r w:rsidRPr="008E0F1A">
        <w:t>McClain, L. C. (2020). Palmore v. Sidoti: The Troubling Effects of ‘Private Biases’. In Painting Constitutional Law (pp. 122-140). Brill Nijhoff.</w:t>
      </w:r>
    </w:p>
    <w:p w14:paraId="7BCBE3E6" w14:textId="77777777" w:rsidR="00072432" w:rsidRDefault="00072432" w:rsidP="00072432">
      <w:r w:rsidRPr="008E0F1A">
        <w:t>https://scholarship.law.bu.edu/cgi/viewcontent.cgi?article=1905&amp;context=faculty_scholarship</w:t>
      </w:r>
    </w:p>
    <w:p w14:paraId="3B18472E" w14:textId="77777777" w:rsidR="00072432" w:rsidRPr="00423F4A" w:rsidRDefault="00072432" w:rsidP="00E1453D">
      <w:pPr>
        <w:shd w:val="clear" w:color="auto" w:fill="FFFFFF"/>
        <w:jc w:val="both"/>
        <w:textAlignment w:val="baseline"/>
        <w:rPr>
          <w:lang w:val="en-US"/>
        </w:rPr>
      </w:pPr>
    </w:p>
    <w:p w14:paraId="51ED4470" w14:textId="77777777" w:rsidR="004B6E83" w:rsidRDefault="004B6E83" w:rsidP="00420600">
      <w:pPr>
        <w:jc w:val="both"/>
        <w:rPr>
          <w:highlight w:val="cyan"/>
        </w:rPr>
      </w:pPr>
    </w:p>
    <w:p w14:paraId="3384190F" w14:textId="0ECC628C" w:rsidR="00420600" w:rsidRPr="00F6065C" w:rsidRDefault="00420600" w:rsidP="00420600">
      <w:pPr>
        <w:jc w:val="both"/>
        <w:rPr>
          <w:b/>
          <w:highlight w:val="darkGray"/>
          <w:lang w:val="en-US"/>
        </w:rPr>
      </w:pPr>
      <w:r w:rsidRPr="00F6065C">
        <w:rPr>
          <w:b/>
          <w:highlight w:val="darkGray"/>
          <w:lang w:val="en-US"/>
        </w:rPr>
        <w:t xml:space="preserve">Presentations: </w:t>
      </w:r>
    </w:p>
    <w:p w14:paraId="4D48A0A0" w14:textId="2D4D326B" w:rsidR="00420600" w:rsidRPr="00F6065C" w:rsidRDefault="004B5C5A" w:rsidP="00423F4A">
      <w:pPr>
        <w:numPr>
          <w:ilvl w:val="0"/>
          <w:numId w:val="30"/>
        </w:numPr>
        <w:jc w:val="both"/>
        <w:rPr>
          <w:b/>
          <w:highlight w:val="darkGray"/>
          <w:lang w:val="en-US"/>
        </w:rPr>
      </w:pPr>
      <w:r w:rsidRPr="00F6065C">
        <w:rPr>
          <w:b/>
          <w:highlight w:val="darkGray"/>
          <w:lang w:val="en-US"/>
        </w:rPr>
        <w:t xml:space="preserve">the </w:t>
      </w:r>
      <w:r w:rsidR="00420600" w:rsidRPr="00F6065C">
        <w:rPr>
          <w:b/>
          <w:highlight w:val="darkGray"/>
          <w:lang w:val="en-US"/>
        </w:rPr>
        <w:t>indigenous legal regime</w:t>
      </w:r>
      <w:r w:rsidRPr="00F6065C">
        <w:rPr>
          <w:b/>
          <w:highlight w:val="darkGray"/>
          <w:lang w:val="en-US"/>
        </w:rPr>
        <w:t xml:space="preserve"> (ILO, UN)</w:t>
      </w:r>
    </w:p>
    <w:p w14:paraId="15C9F4B5" w14:textId="77777777" w:rsidR="004B5C5A" w:rsidRPr="00F6065C" w:rsidRDefault="004B5C5A" w:rsidP="00423F4A">
      <w:pPr>
        <w:numPr>
          <w:ilvl w:val="0"/>
          <w:numId w:val="30"/>
        </w:numPr>
        <w:jc w:val="both"/>
        <w:rPr>
          <w:b/>
          <w:highlight w:val="darkGray"/>
          <w:lang w:val="en-US"/>
        </w:rPr>
      </w:pPr>
      <w:r w:rsidRPr="00F6065C">
        <w:rPr>
          <w:b/>
          <w:highlight w:val="darkGray"/>
          <w:lang w:val="en-US"/>
        </w:rPr>
        <w:t>the Lovelace-case</w:t>
      </w:r>
    </w:p>
    <w:p w14:paraId="14E6DA3D" w14:textId="4389F349" w:rsidR="004B5C5A" w:rsidRPr="00F6065C" w:rsidRDefault="004B5C5A" w:rsidP="00423F4A">
      <w:pPr>
        <w:numPr>
          <w:ilvl w:val="0"/>
          <w:numId w:val="30"/>
        </w:numPr>
        <w:jc w:val="both"/>
        <w:rPr>
          <w:b/>
          <w:highlight w:val="darkGray"/>
          <w:lang w:val="en-US"/>
        </w:rPr>
      </w:pPr>
      <w:r w:rsidRPr="00423F4A">
        <w:rPr>
          <w:b/>
          <w:highlight w:val="darkGray"/>
          <w:lang w:val="en-US"/>
        </w:rPr>
        <w:t xml:space="preserve">Mississippi Band </w:t>
      </w:r>
      <w:r w:rsidR="00E1453D" w:rsidRPr="00423F4A">
        <w:rPr>
          <w:b/>
          <w:highlight w:val="darkGray"/>
          <w:lang w:val="en-US"/>
        </w:rPr>
        <w:t>of Choctaw Indians v. Holyfield</w:t>
      </w:r>
    </w:p>
    <w:p w14:paraId="189CFECD" w14:textId="77777777" w:rsidR="00423F4A" w:rsidRDefault="004B5C5A" w:rsidP="00423F4A">
      <w:pPr>
        <w:numPr>
          <w:ilvl w:val="0"/>
          <w:numId w:val="30"/>
        </w:numPr>
        <w:jc w:val="both"/>
        <w:rPr>
          <w:b/>
          <w:highlight w:val="darkGray"/>
          <w:lang w:val="en-US"/>
        </w:rPr>
      </w:pPr>
      <w:r w:rsidRPr="00F6065C">
        <w:rPr>
          <w:b/>
          <w:highlight w:val="darkGray"/>
          <w:lang w:val="en-US"/>
        </w:rPr>
        <w:t>Adoptive couple v. Baby gir</w:t>
      </w:r>
      <w:r w:rsidR="00423F4A">
        <w:rPr>
          <w:b/>
          <w:highlight w:val="darkGray"/>
          <w:lang w:val="en-US"/>
        </w:rPr>
        <w:t>l</w:t>
      </w:r>
    </w:p>
    <w:p w14:paraId="753974DE" w14:textId="07350901" w:rsidR="00423F4A" w:rsidRDefault="00423F4A" w:rsidP="00423F4A">
      <w:pPr>
        <w:numPr>
          <w:ilvl w:val="0"/>
          <w:numId w:val="30"/>
        </w:numPr>
        <w:jc w:val="both"/>
        <w:rPr>
          <w:b/>
          <w:highlight w:val="darkGray"/>
          <w:lang w:val="en-US"/>
        </w:rPr>
      </w:pPr>
      <w:r w:rsidRPr="00423F4A">
        <w:rPr>
          <w:b/>
          <w:highlight w:val="darkGray"/>
          <w:lang w:val="en-US"/>
        </w:rPr>
        <w:t>Haaland v. Brackeen</w:t>
      </w:r>
    </w:p>
    <w:p w14:paraId="61AC7E08" w14:textId="5576DC5D" w:rsidR="00072432" w:rsidRPr="00072432" w:rsidRDefault="00072432" w:rsidP="00A11741">
      <w:pPr>
        <w:numPr>
          <w:ilvl w:val="0"/>
          <w:numId w:val="30"/>
        </w:numPr>
        <w:jc w:val="both"/>
        <w:rPr>
          <w:b/>
          <w:highlight w:val="darkGray"/>
          <w:lang w:val="en-US"/>
        </w:rPr>
      </w:pPr>
      <w:r w:rsidRPr="00072432">
        <w:rPr>
          <w:b/>
          <w:highlight w:val="darkGray"/>
          <w:lang w:val="en-US"/>
        </w:rPr>
        <w:t>Palmore v. Sidoti, 466 U.S. 429 (1984) + McClain, L. C. (2020).</w:t>
      </w:r>
    </w:p>
    <w:p w14:paraId="3DEB406A" w14:textId="77777777" w:rsidR="00287EAB" w:rsidRDefault="00287EAB" w:rsidP="007A38C4">
      <w:pPr>
        <w:jc w:val="both"/>
        <w:rPr>
          <w:b/>
          <w:lang w:val="en-US"/>
        </w:rPr>
      </w:pPr>
    </w:p>
    <w:p w14:paraId="231A0BB6" w14:textId="7905CA72" w:rsidR="006C4EB7" w:rsidRDefault="006C4EB7" w:rsidP="006C4EB7">
      <w:pPr>
        <w:jc w:val="both"/>
        <w:rPr>
          <w:rFonts w:eastAsia="Calibri"/>
          <w:lang w:val="en-US" w:eastAsia="en-US"/>
        </w:rPr>
      </w:pPr>
    </w:p>
    <w:p w14:paraId="40D9828C" w14:textId="2FDCEAAA" w:rsidR="00423F4A" w:rsidRDefault="00423F4A" w:rsidP="00423F4A">
      <w:pPr>
        <w:jc w:val="both"/>
        <w:rPr>
          <w:b/>
        </w:rPr>
      </w:pPr>
      <w:r w:rsidRPr="00AC22F9">
        <w:rPr>
          <w:b/>
        </w:rPr>
        <w:t xml:space="preserve">Class 8. November 15. </w:t>
      </w:r>
      <w:r w:rsidRPr="002E4C49">
        <w:rPr>
          <w:b/>
          <w:lang w:val="en-US"/>
        </w:rPr>
        <w:t xml:space="preserve">Special legal regimes II. </w:t>
      </w:r>
      <w:r>
        <w:rPr>
          <w:b/>
          <w:lang w:val="en-US"/>
        </w:rPr>
        <w:t>E</w:t>
      </w:r>
      <w:r w:rsidRPr="002E4C49">
        <w:rPr>
          <w:b/>
          <w:lang w:val="en-US"/>
        </w:rPr>
        <w:t>thnic profiling and data collection in law enforcement, hate crimes, hate speech</w:t>
      </w:r>
      <w:r w:rsidR="00B83D61">
        <w:rPr>
          <w:b/>
          <w:lang w:val="en-US"/>
        </w:rPr>
        <w:t>, refugee procedures</w:t>
      </w:r>
      <w:r>
        <w:rPr>
          <w:b/>
          <w:lang w:val="en-US"/>
        </w:rPr>
        <w:t>. D</w:t>
      </w:r>
      <w:r w:rsidRPr="002E4C49">
        <w:rPr>
          <w:b/>
          <w:lang w:val="en-US"/>
        </w:rPr>
        <w:t>iscussing final paper and presentation topics</w:t>
      </w:r>
      <w:r>
        <w:rPr>
          <w:b/>
          <w:lang w:val="en-US"/>
        </w:rPr>
        <w:t>.</w:t>
      </w:r>
    </w:p>
    <w:p w14:paraId="7F8BC4A8" w14:textId="77777777" w:rsidR="00423F4A" w:rsidRDefault="00423F4A" w:rsidP="00901CAD">
      <w:pPr>
        <w:jc w:val="both"/>
        <w:rPr>
          <w:b/>
          <w:lang w:val="en-US"/>
        </w:rPr>
      </w:pPr>
    </w:p>
    <w:p w14:paraId="29249CB1" w14:textId="77777777" w:rsidR="00E1453D" w:rsidRDefault="00E1453D" w:rsidP="00E1453D">
      <w:pPr>
        <w:jc w:val="both"/>
        <w:rPr>
          <w:i/>
          <w:iCs/>
          <w:lang w:val="en-US"/>
        </w:rPr>
      </w:pPr>
      <w:r>
        <w:rPr>
          <w:i/>
          <w:iCs/>
          <w:lang w:val="en-US"/>
        </w:rPr>
        <w:t>Mandatory r</w:t>
      </w:r>
      <w:r w:rsidRPr="00CD34EF">
        <w:rPr>
          <w:i/>
          <w:iCs/>
          <w:lang w:val="en-US"/>
        </w:rPr>
        <w:t>e</w:t>
      </w:r>
      <w:r>
        <w:rPr>
          <w:i/>
          <w:iCs/>
          <w:lang w:val="en-US"/>
        </w:rPr>
        <w:t>adings</w:t>
      </w:r>
    </w:p>
    <w:p w14:paraId="16309E4F" w14:textId="77777777" w:rsidR="00610D8B" w:rsidRPr="00CD34EF" w:rsidRDefault="00610D8B" w:rsidP="00610D8B">
      <w:pPr>
        <w:rPr>
          <w:lang w:val="en-US"/>
        </w:rPr>
      </w:pPr>
      <w:r w:rsidRPr="00CD34EF">
        <w:rPr>
          <w:lang w:val="en-US"/>
        </w:rPr>
        <w:t>Hate Crime Laws, A Practical Guide, OSCE ODHIR Part I. pp. 16-57</w:t>
      </w:r>
    </w:p>
    <w:p w14:paraId="6235EDC7" w14:textId="77777777" w:rsidR="00610D8B" w:rsidRPr="00111F7B" w:rsidRDefault="00610D8B" w:rsidP="00610D8B">
      <w:pPr>
        <w:jc w:val="both"/>
        <w:rPr>
          <w:rFonts w:eastAsia="Calibri"/>
          <w:lang w:val="en-US" w:eastAsia="en-US"/>
        </w:rPr>
      </w:pPr>
      <w:r w:rsidRPr="00111F7B">
        <w:rPr>
          <w:rFonts w:eastAsia="Calibri"/>
          <w:lang w:val="en-US" w:eastAsia="en-US"/>
        </w:rPr>
        <w:t xml:space="preserve">https://www.osce.org/odihr/36426 </w:t>
      </w:r>
    </w:p>
    <w:p w14:paraId="78509D78" w14:textId="77777777" w:rsidR="00610D8B" w:rsidRDefault="00610D8B" w:rsidP="00610D8B">
      <w:pPr>
        <w:jc w:val="both"/>
        <w:rPr>
          <w:lang w:val="en-US"/>
        </w:rPr>
      </w:pPr>
      <w:r w:rsidRPr="00CD34EF">
        <w:rPr>
          <w:lang w:val="en-US"/>
        </w:rPr>
        <w:t>Hate speech factsheet, ECHR</w:t>
      </w:r>
    </w:p>
    <w:p w14:paraId="47B5FB81" w14:textId="77777777" w:rsidR="00610D8B" w:rsidRPr="00CD34EF" w:rsidRDefault="00610D8B" w:rsidP="00610D8B">
      <w:pPr>
        <w:jc w:val="both"/>
        <w:rPr>
          <w:lang w:val="en-US"/>
        </w:rPr>
      </w:pPr>
      <w:r w:rsidRPr="00F56A12">
        <w:rPr>
          <w:lang w:val="en-US"/>
        </w:rPr>
        <w:t>https://www.echr.coe.int/documents/fs_hate_speech_eng.pdf</w:t>
      </w:r>
    </w:p>
    <w:p w14:paraId="6AA3685B" w14:textId="465DAF90" w:rsidR="003E69FB" w:rsidRPr="0069113D" w:rsidRDefault="003E69FB" w:rsidP="003E69FB">
      <w:pPr>
        <w:jc w:val="both"/>
        <w:rPr>
          <w:rFonts w:eastAsia="Calibri"/>
          <w:i/>
          <w:iCs/>
          <w:lang w:val="en-US" w:eastAsia="en-US"/>
        </w:rPr>
      </w:pPr>
      <w:r w:rsidRPr="0069113D">
        <w:rPr>
          <w:rFonts w:eastAsia="Calibri"/>
          <w:i/>
          <w:iCs/>
          <w:lang w:val="en-US" w:eastAsia="en-US"/>
        </w:rPr>
        <w:t>Recommended readings</w:t>
      </w:r>
    </w:p>
    <w:p w14:paraId="608B9D75" w14:textId="5A427874" w:rsidR="00E1453D" w:rsidRPr="00CD34EF" w:rsidRDefault="00E1453D" w:rsidP="00E1453D">
      <w:pPr>
        <w:rPr>
          <w:lang w:val="en-US"/>
        </w:rPr>
      </w:pPr>
      <w:r w:rsidRPr="00CD34EF">
        <w:rPr>
          <w:lang w:val="en-US"/>
        </w:rPr>
        <w:t>András L. Pap: Ethnicity and Race-Based Profiling in Counter-Terrorism, Law Enforcement and Border Control, European Parliament, 2008 pp. 1-63</w:t>
      </w:r>
    </w:p>
    <w:p w14:paraId="67247827" w14:textId="77777777" w:rsidR="00E1453D" w:rsidRPr="003E69FB" w:rsidRDefault="00457092" w:rsidP="00E1453D">
      <w:pPr>
        <w:jc w:val="both"/>
        <w:rPr>
          <w:rFonts w:eastAsia="Calibri"/>
          <w:lang w:val="en-US" w:eastAsia="en-US"/>
        </w:rPr>
      </w:pPr>
      <w:hyperlink r:id="rId72" w:history="1">
        <w:r w:rsidR="00E1453D" w:rsidRPr="003E69FB">
          <w:rPr>
            <w:rStyle w:val="Hiperhivatkozs"/>
            <w:rFonts w:eastAsia="Calibri"/>
            <w:lang w:val="en-US" w:eastAsia="en-US"/>
          </w:rPr>
          <w:t>https://www.europarl.europa.eu/thinktank/en/document.html?reference=IPOL-LIBE_ET%282008%29408326</w:t>
        </w:r>
      </w:hyperlink>
    </w:p>
    <w:p w14:paraId="2C5D8846" w14:textId="77777777" w:rsidR="00E1453D" w:rsidRPr="00111F7B" w:rsidRDefault="00457092" w:rsidP="00E1453D">
      <w:pPr>
        <w:jc w:val="both"/>
        <w:rPr>
          <w:lang w:val="en-US"/>
        </w:rPr>
      </w:pPr>
      <w:hyperlink r:id="rId73" w:tgtFrame="blank" w:history="1">
        <w:r w:rsidR="00E1453D" w:rsidRPr="00111F7B">
          <w:rPr>
            <w:lang w:val="en-US"/>
          </w:rPr>
          <w:t>Preventing unlawful profiling today and in the future: a guide</w:t>
        </w:r>
      </w:hyperlink>
    </w:p>
    <w:p w14:paraId="2247482A" w14:textId="77777777" w:rsidR="00E1453D" w:rsidRPr="00CD34EF" w:rsidRDefault="00E1453D" w:rsidP="00E1453D">
      <w:pPr>
        <w:jc w:val="both"/>
        <w:rPr>
          <w:lang w:val="en-US"/>
        </w:rPr>
      </w:pPr>
      <w:r w:rsidRPr="003E69FB">
        <w:rPr>
          <w:lang w:val="en-US"/>
        </w:rPr>
        <w:t>https://www.osce.org/files/f/documents/7/a/25974.pdf</w:t>
      </w:r>
    </w:p>
    <w:p w14:paraId="1B41A6FF" w14:textId="77777777" w:rsidR="00E1453D" w:rsidRDefault="00E1453D" w:rsidP="00E1453D">
      <w:pPr>
        <w:jc w:val="both"/>
        <w:rPr>
          <w:lang w:val="en-US"/>
        </w:rPr>
      </w:pPr>
      <w:r w:rsidRPr="00CD34EF">
        <w:rPr>
          <w:lang w:val="en-US"/>
        </w:rPr>
        <w:t xml:space="preserve">McCleskey v. Kemp </w:t>
      </w:r>
    </w:p>
    <w:p w14:paraId="40B035A4" w14:textId="77777777" w:rsidR="00E1453D" w:rsidRDefault="00457092" w:rsidP="00E1453D">
      <w:pPr>
        <w:jc w:val="both"/>
        <w:rPr>
          <w:lang w:val="en-US"/>
        </w:rPr>
      </w:pPr>
      <w:hyperlink r:id="rId74" w:history="1">
        <w:r w:rsidR="00E1453D" w:rsidRPr="00956D84">
          <w:rPr>
            <w:rStyle w:val="Hiperhivatkozs"/>
            <w:lang w:val="en-US"/>
          </w:rPr>
          <w:t>https://www.oyez.org/cases/1986/84-6811</w:t>
        </w:r>
      </w:hyperlink>
    </w:p>
    <w:p w14:paraId="3C3285B8" w14:textId="2AE9FF71" w:rsidR="00E1453D" w:rsidRDefault="00E1453D" w:rsidP="00E1453D">
      <w:pPr>
        <w:jc w:val="both"/>
        <w:rPr>
          <w:rStyle w:val="Hiperhivatkozs"/>
          <w:lang w:val="en-US"/>
        </w:rPr>
      </w:pPr>
      <w:r>
        <w:rPr>
          <w:lang w:val="en-US"/>
        </w:rPr>
        <w:t>Floyd v. City of New York</w:t>
      </w:r>
      <w:r w:rsidRPr="00111F7B">
        <w:t xml:space="preserve"> </w:t>
      </w:r>
      <w:hyperlink r:id="rId75" w:history="1">
        <w:r w:rsidRPr="00956D84">
          <w:rPr>
            <w:rStyle w:val="Hiperhivatkozs"/>
            <w:lang w:val="en-US"/>
          </w:rPr>
          <w:t>https://casetext.com/case/floyd-v-city-of-ny-2</w:t>
        </w:r>
      </w:hyperlink>
    </w:p>
    <w:p w14:paraId="0CD7B176" w14:textId="77777777" w:rsidR="00E1453D" w:rsidRDefault="00E1453D" w:rsidP="00E1453D">
      <w:pPr>
        <w:jc w:val="both"/>
        <w:rPr>
          <w:rFonts w:eastAsia="Calibri"/>
          <w:i/>
          <w:iCs/>
          <w:lang w:val="en-US" w:eastAsia="en-US"/>
        </w:rPr>
      </w:pPr>
      <w:r w:rsidRPr="0069113D">
        <w:rPr>
          <w:rFonts w:eastAsia="Calibri"/>
          <w:i/>
          <w:iCs/>
          <w:lang w:val="en-US" w:eastAsia="en-US"/>
        </w:rPr>
        <w:t>Recommended readings</w:t>
      </w:r>
    </w:p>
    <w:p w14:paraId="46401059" w14:textId="77777777" w:rsidR="00E1453D" w:rsidRDefault="00E1453D" w:rsidP="00E1453D">
      <w:r w:rsidRPr="00111F7B">
        <w:t>Ensuring justice for hate crime victims: professional perspectives</w:t>
      </w:r>
      <w:r>
        <w:t>, FRA</w:t>
      </w:r>
    </w:p>
    <w:p w14:paraId="22C00724" w14:textId="46FDA107" w:rsidR="00E1453D" w:rsidRDefault="00457092" w:rsidP="00E1453D">
      <w:hyperlink r:id="rId76" w:history="1">
        <w:r w:rsidR="005108C8" w:rsidRPr="00821966">
          <w:rPr>
            <w:rStyle w:val="Hiperhivatkozs"/>
          </w:rPr>
          <w:t>https://fra.europa.eu/sites/default/files/fra_uploads/fra-2016-justice-hate_crime-victims_en.pdf</w:t>
        </w:r>
      </w:hyperlink>
    </w:p>
    <w:p w14:paraId="7E7715DD" w14:textId="77777777" w:rsidR="005108C8" w:rsidRDefault="005108C8" w:rsidP="005108C8">
      <w:pPr>
        <w:jc w:val="both"/>
        <w:rPr>
          <w:lang w:val="en-US"/>
        </w:rPr>
      </w:pPr>
      <w:r w:rsidRPr="005108C8">
        <w:rPr>
          <w:lang w:val="en-US"/>
        </w:rPr>
        <w:t xml:space="preserve">Pap, A., &amp; Kovács Szitkay, E. (2022). Race, Ethnicity, Biotechnology and the Law. European Law Enforcement Research Bulletin, (6), 169-177. </w:t>
      </w:r>
    </w:p>
    <w:p w14:paraId="5F8F1FD3" w14:textId="170C5497" w:rsidR="005108C8" w:rsidRPr="005108C8" w:rsidRDefault="00457092" w:rsidP="005108C8">
      <w:pPr>
        <w:jc w:val="both"/>
        <w:rPr>
          <w:lang w:val="en-US"/>
        </w:rPr>
      </w:pPr>
      <w:hyperlink r:id="rId77" w:history="1">
        <w:r w:rsidR="005108C8" w:rsidRPr="005108C8">
          <w:rPr>
            <w:lang w:val="en-US"/>
          </w:rPr>
          <w:t>https://bulletin.cepol.europa.eu/index.php/bulletin/article/view/539/411</w:t>
        </w:r>
      </w:hyperlink>
    </w:p>
    <w:p w14:paraId="3BDEBDA1" w14:textId="308E563D" w:rsidR="00E1453D" w:rsidRPr="00B7644B" w:rsidRDefault="00E1453D" w:rsidP="00E1453D">
      <w:pPr>
        <w:shd w:val="clear" w:color="auto" w:fill="FFFFFF"/>
        <w:jc w:val="both"/>
        <w:textAlignment w:val="baseline"/>
        <w:rPr>
          <w:rFonts w:ascii="Segoe UI" w:hAnsi="Segoe UI" w:cs="Segoe UI"/>
          <w:sz w:val="18"/>
          <w:szCs w:val="18"/>
        </w:rPr>
      </w:pPr>
      <w:r w:rsidRPr="00B7644B">
        <w:t>Pap, Andras L: Neglect, Marginalization, and Abuse: Hate Crime Legislation and Practice in the Labyrinth of Identity Politics, Minority Protection, and Penal Populism, Nationalism Studies, 2020 </w:t>
      </w:r>
    </w:p>
    <w:p w14:paraId="6DF9637F" w14:textId="2986C709" w:rsidR="00E1453D" w:rsidRDefault="00457092" w:rsidP="00E1453D">
      <w:pPr>
        <w:jc w:val="both"/>
        <w:rPr>
          <w:u w:val="single"/>
        </w:rPr>
      </w:pPr>
      <w:hyperlink r:id="rId78" w:tgtFrame="_blank" w:history="1">
        <w:r w:rsidR="00E1453D" w:rsidRPr="00B7644B">
          <w:rPr>
            <w:u w:val="single"/>
          </w:rPr>
          <w:t>https://www.cambridge.org/core/journals/nationalities-papers/article/neglect-marginalization-and-abuse-hate-crime-legislation-and-practice-in-the-labyrinth-of-identity-politics-minority-protection-and-penal-populism/8C75584B29DDC53C2EE9FD59F89C11B5</w:t>
        </w:r>
      </w:hyperlink>
    </w:p>
    <w:p w14:paraId="468A3AD5" w14:textId="77777777" w:rsidR="00E1453D" w:rsidRPr="00742C51" w:rsidRDefault="00E1453D" w:rsidP="00E1453D">
      <w:pPr>
        <w:shd w:val="clear" w:color="auto" w:fill="FFFFFF"/>
        <w:jc w:val="both"/>
        <w:textAlignment w:val="baseline"/>
        <w:rPr>
          <w:rFonts w:ascii="Segoe UI" w:hAnsi="Segoe UI" w:cs="Segoe UI"/>
          <w:sz w:val="18"/>
          <w:szCs w:val="18"/>
        </w:rPr>
      </w:pPr>
      <w:r w:rsidRPr="00742C51">
        <w:t>Council Framework Decision 2008/913/JHA of 28 November 2008 on combating certain forms and expressions of racism and xenophobia by means of criminal law </w:t>
      </w:r>
    </w:p>
    <w:p w14:paraId="3FFFE1A2" w14:textId="77777777" w:rsidR="00E1453D" w:rsidRPr="00742C51" w:rsidRDefault="00457092" w:rsidP="00E1453D">
      <w:pPr>
        <w:shd w:val="clear" w:color="auto" w:fill="FFFFFF"/>
        <w:jc w:val="both"/>
        <w:textAlignment w:val="baseline"/>
        <w:rPr>
          <w:rFonts w:ascii="Segoe UI" w:hAnsi="Segoe UI" w:cs="Segoe UI"/>
          <w:sz w:val="18"/>
          <w:szCs w:val="18"/>
        </w:rPr>
      </w:pPr>
      <w:hyperlink r:id="rId79" w:tgtFrame="_blank" w:history="1">
        <w:r w:rsidR="00E1453D" w:rsidRPr="00742C51">
          <w:rPr>
            <w:u w:val="single"/>
          </w:rPr>
          <w:t>https://eur-lex.europa.eu/legal-content/en/ALL/?uri=CELEX%3A32008F0913</w:t>
        </w:r>
      </w:hyperlink>
      <w:r w:rsidR="00E1453D" w:rsidRPr="00742C51">
        <w:t> </w:t>
      </w:r>
    </w:p>
    <w:p w14:paraId="43E7BBE1" w14:textId="77777777" w:rsidR="00E1453D" w:rsidRPr="00742C51" w:rsidRDefault="00E1453D" w:rsidP="00E1453D">
      <w:pPr>
        <w:shd w:val="clear" w:color="auto" w:fill="FFFFFF"/>
        <w:jc w:val="both"/>
        <w:textAlignment w:val="baseline"/>
        <w:rPr>
          <w:rFonts w:ascii="Segoe UI" w:hAnsi="Segoe UI" w:cs="Segoe UI"/>
          <w:sz w:val="18"/>
          <w:szCs w:val="18"/>
        </w:rPr>
      </w:pPr>
      <w:r w:rsidRPr="00742C51">
        <w:rPr>
          <w:u w:val="single"/>
        </w:rPr>
        <w:t>ECRI Hate Speech</w:t>
      </w:r>
      <w:r w:rsidRPr="00742C51">
        <w:t> </w:t>
      </w:r>
    </w:p>
    <w:p w14:paraId="2C1F7BB6" w14:textId="77777777" w:rsidR="00E1453D" w:rsidRPr="00742C51" w:rsidRDefault="00457092" w:rsidP="00E1453D">
      <w:pPr>
        <w:shd w:val="clear" w:color="auto" w:fill="FFFFFF"/>
        <w:jc w:val="both"/>
        <w:textAlignment w:val="baseline"/>
        <w:rPr>
          <w:rFonts w:ascii="Segoe UI" w:hAnsi="Segoe UI" w:cs="Segoe UI"/>
          <w:sz w:val="18"/>
          <w:szCs w:val="18"/>
        </w:rPr>
      </w:pPr>
      <w:hyperlink r:id="rId80" w:tgtFrame="_blank" w:history="1">
        <w:r w:rsidR="00E1453D" w:rsidRPr="00742C51">
          <w:rPr>
            <w:u w:val="single"/>
          </w:rPr>
          <w:t>https://rm.coe.int/ecri-general-policy-recommendation-no-15-on-combating-hate-speech/16808b5b01</w:t>
        </w:r>
      </w:hyperlink>
      <w:r w:rsidR="00E1453D" w:rsidRPr="00742C51">
        <w:t> </w:t>
      </w:r>
    </w:p>
    <w:p w14:paraId="4ED9BED9" w14:textId="77777777" w:rsidR="00E1453D" w:rsidRPr="00CD34EF" w:rsidRDefault="00E1453D" w:rsidP="00E1453D">
      <w:pPr>
        <w:rPr>
          <w:lang w:val="en-US"/>
        </w:rPr>
      </w:pPr>
      <w:r w:rsidRPr="00CD34EF">
        <w:rPr>
          <w:lang w:val="en-US"/>
        </w:rPr>
        <w:t>Thomas M. Keck: Hate Speech and Double Standards, Constitutional Studies, 95-122</w:t>
      </w:r>
    </w:p>
    <w:p w14:paraId="127B5A7C" w14:textId="77777777" w:rsidR="00E1453D" w:rsidRPr="006B6F0C" w:rsidRDefault="00E1453D" w:rsidP="00E1453D">
      <w:pPr>
        <w:shd w:val="clear" w:color="auto" w:fill="FFFFFF"/>
        <w:jc w:val="both"/>
        <w:textAlignment w:val="baseline"/>
        <w:rPr>
          <w:rFonts w:ascii="Segoe UI" w:hAnsi="Segoe UI" w:cs="Segoe UI"/>
          <w:sz w:val="18"/>
          <w:szCs w:val="18"/>
        </w:rPr>
      </w:pPr>
      <w:r w:rsidRPr="006B6F0C">
        <w:t>Giniewski v. France  (2006)</w:t>
      </w:r>
    </w:p>
    <w:p w14:paraId="214AFDBF" w14:textId="77777777" w:rsidR="00E1453D" w:rsidRPr="006B6F0C" w:rsidRDefault="00457092" w:rsidP="00E1453D">
      <w:pPr>
        <w:shd w:val="clear" w:color="auto" w:fill="FFFFFF"/>
        <w:jc w:val="both"/>
        <w:textAlignment w:val="baseline"/>
        <w:rPr>
          <w:rFonts w:ascii="Segoe UI" w:hAnsi="Segoe UI" w:cs="Segoe UI"/>
          <w:sz w:val="18"/>
          <w:szCs w:val="18"/>
        </w:rPr>
      </w:pPr>
      <w:hyperlink r:id="rId81" w:tgtFrame="_blank" w:history="1">
        <w:r w:rsidR="00E1453D" w:rsidRPr="006B6F0C">
          <w:rPr>
            <w:u w:val="single"/>
          </w:rPr>
          <w:t>https://futurefreespeech.com/giniewski-v-france/</w:t>
        </w:r>
      </w:hyperlink>
      <w:r w:rsidR="00E1453D" w:rsidRPr="006B6F0C">
        <w:t> </w:t>
      </w:r>
    </w:p>
    <w:p w14:paraId="54F552CA" w14:textId="77777777" w:rsidR="00E1453D" w:rsidRPr="006B6F0C" w:rsidRDefault="00E1453D" w:rsidP="00E1453D">
      <w:pPr>
        <w:jc w:val="both"/>
      </w:pPr>
      <w:r w:rsidRPr="006B6F0C">
        <w:t>Ibragim Ibragimov and Others v. Russia 28 August 2018</w:t>
      </w:r>
    </w:p>
    <w:p w14:paraId="6275F762" w14:textId="77777777" w:rsidR="00E1453D" w:rsidRDefault="00457092" w:rsidP="00E1453D">
      <w:pPr>
        <w:jc w:val="both"/>
      </w:pPr>
      <w:hyperlink r:id="rId82" w:anchor="{%22itemid%22:[%22001-185293%22]}" w:history="1">
        <w:r w:rsidR="00E1453D" w:rsidRPr="00956D84">
          <w:rPr>
            <w:rStyle w:val="Hiperhivatkozs"/>
          </w:rPr>
          <w:t>https://hudoc.echr.coe.int/fre#{%22itemid%22:[%22001-185293%22]}</w:t>
        </w:r>
      </w:hyperlink>
      <w:r w:rsidR="00E1453D" w:rsidRPr="006B6F0C">
        <w:t xml:space="preserve"> </w:t>
      </w:r>
    </w:p>
    <w:p w14:paraId="62A048EF" w14:textId="77777777" w:rsidR="00E1453D" w:rsidRPr="006B6F0C" w:rsidRDefault="00E1453D" w:rsidP="00E1453D">
      <w:pPr>
        <w:jc w:val="both"/>
      </w:pPr>
      <w:r w:rsidRPr="006B6F0C">
        <w:t>Perinçek v. Switzerland 15 October 2015 (Grand Chamber)</w:t>
      </w:r>
    </w:p>
    <w:p w14:paraId="3A1AECF7" w14:textId="77777777" w:rsidR="00E1453D" w:rsidRDefault="00E1453D" w:rsidP="00E1453D">
      <w:pPr>
        <w:jc w:val="both"/>
      </w:pPr>
      <w:r w:rsidRPr="006B6F0C">
        <w:t>https://hudoc.echr.coe.int/app/conversion/docx/pdf?library=ECHR&amp;id=001-158235&amp;filename=</w:t>
      </w:r>
    </w:p>
    <w:p w14:paraId="3601880A" w14:textId="77777777" w:rsidR="00E1453D" w:rsidRPr="006B6F0C" w:rsidRDefault="00E1453D" w:rsidP="00E1453D">
      <w:pPr>
        <w:jc w:val="both"/>
      </w:pPr>
      <w:r w:rsidRPr="006B6F0C">
        <w:t>Delfi AS v. Estonia 16 June 2015</w:t>
      </w:r>
    </w:p>
    <w:p w14:paraId="73CCA5F8" w14:textId="77777777" w:rsidR="00E1453D" w:rsidRDefault="00457092" w:rsidP="00E1453D">
      <w:pPr>
        <w:jc w:val="both"/>
      </w:pPr>
      <w:hyperlink r:id="rId83" w:history="1">
        <w:r w:rsidR="00E1453D" w:rsidRPr="006B6F0C">
          <w:rPr>
            <w:rStyle w:val="Hiperhivatkozs"/>
          </w:rPr>
          <w:t>https://hudoc.echr.coe.int/app/conversion/pdf/?library=ECHR&amp;id=001-155105&amp;filename=001-155105.pdf</w:t>
        </w:r>
      </w:hyperlink>
    </w:p>
    <w:p w14:paraId="0D082018" w14:textId="77777777" w:rsidR="00E1453D" w:rsidRPr="00FD1A7C" w:rsidRDefault="00E1453D" w:rsidP="00E1453D">
      <w:pPr>
        <w:jc w:val="both"/>
        <w:rPr>
          <w:lang w:val="en-US"/>
        </w:rPr>
      </w:pPr>
      <w:r w:rsidRPr="00FD1A7C">
        <w:rPr>
          <w:lang w:val="en-US"/>
        </w:rPr>
        <w:t>National Socialist Party v. Skokie, 432 U.S. 43 (1977)</w:t>
      </w:r>
    </w:p>
    <w:p w14:paraId="0BC3FC15" w14:textId="77777777" w:rsidR="00E1453D" w:rsidRPr="00FD1A7C" w:rsidRDefault="00457092" w:rsidP="00E1453D">
      <w:pPr>
        <w:jc w:val="both"/>
        <w:rPr>
          <w:lang w:val="en-US"/>
        </w:rPr>
      </w:pPr>
      <w:hyperlink r:id="rId84" w:history="1">
        <w:r w:rsidR="00E1453D" w:rsidRPr="00FD1A7C">
          <w:rPr>
            <w:rStyle w:val="Hiperhivatkozs"/>
            <w:lang w:val="en-US"/>
          </w:rPr>
          <w:t>https://supreme.justia.com/cases/federal/us/432/43/</w:t>
        </w:r>
      </w:hyperlink>
    </w:p>
    <w:p w14:paraId="78AA706A" w14:textId="77777777" w:rsidR="00E1453D" w:rsidRPr="00FD1A7C" w:rsidRDefault="00E1453D" w:rsidP="00E1453D">
      <w:pPr>
        <w:jc w:val="both"/>
        <w:rPr>
          <w:lang w:val="en-US"/>
        </w:rPr>
      </w:pPr>
      <w:r w:rsidRPr="00FD1A7C">
        <w:rPr>
          <w:lang w:val="en-US"/>
        </w:rPr>
        <w:t>Virginia v. Black et al (2003)</w:t>
      </w:r>
    </w:p>
    <w:p w14:paraId="3DA79AF4" w14:textId="77777777" w:rsidR="00E1453D" w:rsidRDefault="00457092" w:rsidP="00E1453D">
      <w:pPr>
        <w:rPr>
          <w:lang w:val="en-US"/>
        </w:rPr>
      </w:pPr>
      <w:hyperlink r:id="rId85" w:history="1">
        <w:r w:rsidR="00E1453D" w:rsidRPr="006B6F0C">
          <w:rPr>
            <w:rStyle w:val="Hiperhivatkozs"/>
            <w:lang w:val="en-US"/>
          </w:rPr>
          <w:t>https://supreme.justia.com/cases/federal/us/538/343/</w:t>
        </w:r>
      </w:hyperlink>
    </w:p>
    <w:p w14:paraId="61F053A3" w14:textId="77777777" w:rsidR="00E1453D" w:rsidRPr="00CD34EF" w:rsidRDefault="00E1453D" w:rsidP="00E1453D">
      <w:pPr>
        <w:rPr>
          <w:lang w:val="en-US"/>
        </w:rPr>
      </w:pPr>
      <w:r w:rsidRPr="00CD34EF">
        <w:rPr>
          <w:lang w:val="en-US"/>
        </w:rPr>
        <w:t xml:space="preserve">Israel’s Efforts to Limit Use of Holocaust Terms </w:t>
      </w:r>
    </w:p>
    <w:p w14:paraId="5BC57B9D" w14:textId="77777777" w:rsidR="00E1453D" w:rsidRDefault="00457092" w:rsidP="00E1453D">
      <w:pPr>
        <w:rPr>
          <w:rFonts w:eastAsia="Calibri"/>
          <w:lang w:val="en-US"/>
        </w:rPr>
      </w:pPr>
      <w:hyperlink r:id="rId86" w:history="1">
        <w:r w:rsidR="00E1453D" w:rsidRPr="00956D84">
          <w:rPr>
            <w:rStyle w:val="Hiperhivatkozs"/>
            <w:rFonts w:eastAsia="Calibri"/>
            <w:lang w:val="en-US"/>
          </w:rPr>
          <w:t>https://www.nytimes.com/2014/01/16/world/middleeast/israels-efforts-to-limit-use-of-holocaust-terms-raise-free-speech-questions.html</w:t>
        </w:r>
      </w:hyperlink>
    </w:p>
    <w:p w14:paraId="4224295A" w14:textId="77777777" w:rsidR="00E1453D" w:rsidRPr="00CC0C78" w:rsidRDefault="00E1453D" w:rsidP="00E1453D">
      <w:pPr>
        <w:rPr>
          <w:lang w:val="en-US"/>
        </w:rPr>
      </w:pPr>
      <w:r w:rsidRPr="00CC0C78">
        <w:rPr>
          <w:lang w:val="en-US"/>
        </w:rPr>
        <w:t>Germany's top court rules against Facebook on users' data</w:t>
      </w:r>
    </w:p>
    <w:p w14:paraId="00532A15" w14:textId="77777777" w:rsidR="00E1453D" w:rsidRPr="00F6065C" w:rsidRDefault="00E1453D" w:rsidP="00E1453D">
      <w:pPr>
        <w:rPr>
          <w:b/>
          <w:highlight w:val="darkGray"/>
          <w:lang w:val="en-US"/>
        </w:rPr>
      </w:pPr>
      <w:r w:rsidRPr="00CC0C78">
        <w:rPr>
          <w:lang w:val="en-US"/>
        </w:rPr>
        <w:t>https://www.dw.com/en/germanys-top-court-rules-against-facebook-on-users-data/a-</w:t>
      </w:r>
    </w:p>
    <w:p w14:paraId="4153696F" w14:textId="77777777" w:rsidR="00423F4A" w:rsidRPr="0069113D" w:rsidRDefault="00423F4A" w:rsidP="00423F4A">
      <w:pPr>
        <w:shd w:val="clear" w:color="auto" w:fill="FFFFFF"/>
        <w:jc w:val="both"/>
        <w:textAlignment w:val="baseline"/>
        <w:rPr>
          <w:rFonts w:eastAsia="Calibri"/>
          <w:lang w:val="en-US" w:eastAsia="en-US"/>
        </w:rPr>
      </w:pPr>
      <w:r w:rsidRPr="0069113D">
        <w:rPr>
          <w:rFonts w:eastAsia="Calibri"/>
          <w:lang w:val="en-US" w:eastAsia="en-US"/>
        </w:rPr>
        <w:t>UNHCR Handbook on Procedures, Para 1-168 </w:t>
      </w:r>
    </w:p>
    <w:p w14:paraId="3800B146" w14:textId="77777777" w:rsidR="00423F4A" w:rsidRPr="0069113D" w:rsidRDefault="00457092" w:rsidP="00423F4A">
      <w:pPr>
        <w:shd w:val="clear" w:color="auto" w:fill="FFFFFF"/>
        <w:jc w:val="both"/>
        <w:textAlignment w:val="baseline"/>
        <w:rPr>
          <w:rFonts w:eastAsia="Calibri"/>
          <w:lang w:val="en-US" w:eastAsia="en-US"/>
        </w:rPr>
      </w:pPr>
      <w:hyperlink r:id="rId87" w:tgtFrame="_blank" w:history="1">
        <w:r w:rsidR="00423F4A" w:rsidRPr="0069113D">
          <w:rPr>
            <w:rFonts w:eastAsia="Calibri"/>
            <w:lang w:val="en-US" w:eastAsia="en-US"/>
          </w:rPr>
          <w:t>https://www.unhcr.org/4d93528a9.pdf</w:t>
        </w:r>
      </w:hyperlink>
      <w:r w:rsidR="00423F4A" w:rsidRPr="0069113D">
        <w:rPr>
          <w:rFonts w:eastAsia="Calibri"/>
          <w:lang w:val="en-US" w:eastAsia="en-US"/>
        </w:rPr>
        <w:t> </w:t>
      </w:r>
    </w:p>
    <w:p w14:paraId="0D9D9E21" w14:textId="77777777" w:rsidR="00423F4A" w:rsidRPr="0069113D" w:rsidRDefault="00457092" w:rsidP="00423F4A">
      <w:pPr>
        <w:shd w:val="clear" w:color="auto" w:fill="FFFFFF"/>
        <w:jc w:val="both"/>
        <w:textAlignment w:val="baseline"/>
        <w:rPr>
          <w:rFonts w:eastAsia="Calibri"/>
          <w:lang w:val="en-US" w:eastAsia="en-US"/>
        </w:rPr>
      </w:pPr>
      <w:hyperlink r:id="rId88" w:tgtFrame="_blank" w:history="1">
        <w:r w:rsidR="00423F4A" w:rsidRPr="0069113D">
          <w:rPr>
            <w:rFonts w:eastAsia="Calibri"/>
            <w:lang w:val="en-US" w:eastAsia="en-US"/>
          </w:rPr>
          <w:t>https://www.un.org/en/sections/issues-depth/refugees/</w:t>
        </w:r>
      </w:hyperlink>
      <w:r w:rsidR="00423F4A" w:rsidRPr="0069113D">
        <w:rPr>
          <w:rFonts w:eastAsia="Calibri"/>
          <w:lang w:val="en-US" w:eastAsia="en-US"/>
        </w:rPr>
        <w:t> </w:t>
      </w:r>
    </w:p>
    <w:p w14:paraId="72C80757" w14:textId="77777777" w:rsidR="00423F4A" w:rsidRPr="0069113D" w:rsidRDefault="00423F4A" w:rsidP="00423F4A">
      <w:pPr>
        <w:shd w:val="clear" w:color="auto" w:fill="FFFFFF"/>
        <w:jc w:val="both"/>
        <w:textAlignment w:val="baseline"/>
        <w:rPr>
          <w:rFonts w:eastAsia="Calibri"/>
          <w:lang w:val="en-US" w:eastAsia="en-US"/>
        </w:rPr>
      </w:pPr>
      <w:r w:rsidRPr="0069113D">
        <w:rPr>
          <w:rFonts w:eastAsia="Calibri"/>
          <w:lang w:val="en-US" w:eastAsia="en-US"/>
        </w:rPr>
        <w:t>Michael Kagan: Refugee Credibility Assessment and the “Religious Imposter” Problem: A Case Study of Eritrean Pentecostal Claims in Egypt </w:t>
      </w:r>
    </w:p>
    <w:p w14:paraId="7ECE8D03" w14:textId="77777777" w:rsidR="00423F4A" w:rsidRPr="0069113D" w:rsidRDefault="00457092" w:rsidP="00423F4A">
      <w:pPr>
        <w:shd w:val="clear" w:color="auto" w:fill="FFFFFF"/>
        <w:textAlignment w:val="baseline"/>
        <w:rPr>
          <w:rFonts w:eastAsia="Calibri"/>
          <w:lang w:val="en-US" w:eastAsia="en-US"/>
        </w:rPr>
      </w:pPr>
      <w:hyperlink r:id="rId89" w:tgtFrame="_blank" w:history="1">
        <w:r w:rsidR="00423F4A" w:rsidRPr="0069113D">
          <w:rPr>
            <w:rFonts w:eastAsia="Calibri"/>
            <w:lang w:val="en-US" w:eastAsia="en-US"/>
          </w:rPr>
          <w:t>https://papers.ssrn.com/sol3/papers.cfm?abstract_id=1917592</w:t>
        </w:r>
      </w:hyperlink>
      <w:r w:rsidR="00423F4A" w:rsidRPr="0069113D">
        <w:rPr>
          <w:rFonts w:eastAsia="Calibri"/>
          <w:lang w:val="en-US" w:eastAsia="en-US"/>
        </w:rPr>
        <w:t> </w:t>
      </w:r>
    </w:p>
    <w:p w14:paraId="5504A865" w14:textId="77777777" w:rsidR="00423F4A" w:rsidRPr="0069113D" w:rsidRDefault="00457092" w:rsidP="00423F4A">
      <w:pPr>
        <w:shd w:val="clear" w:color="auto" w:fill="FFFFFF"/>
        <w:textAlignment w:val="baseline"/>
        <w:rPr>
          <w:rFonts w:eastAsia="Calibri"/>
          <w:lang w:val="en-US" w:eastAsia="en-US"/>
        </w:rPr>
      </w:pPr>
      <w:hyperlink r:id="rId90" w:anchor="content" w:tgtFrame="_blank" w:history="1">
        <w:r w:rsidR="00423F4A" w:rsidRPr="0069113D">
          <w:rPr>
            <w:rFonts w:eastAsia="Calibri"/>
            <w:lang w:val="en-US" w:eastAsia="en-US"/>
          </w:rPr>
          <w:t>Ireland - High Court, 27 April 2012, H.M v Minister for Justice and Law Reform, [2012] IEHC 176</w:t>
        </w:r>
      </w:hyperlink>
      <w:r w:rsidR="00423F4A" w:rsidRPr="0069113D">
        <w:rPr>
          <w:rFonts w:eastAsia="Calibri"/>
          <w:lang w:val="en-US" w:eastAsia="en-US"/>
        </w:rPr>
        <w:t> </w:t>
      </w:r>
    </w:p>
    <w:p w14:paraId="2EBD11B8" w14:textId="77777777" w:rsidR="00423F4A" w:rsidRPr="0069113D" w:rsidRDefault="00457092" w:rsidP="00423F4A">
      <w:pPr>
        <w:shd w:val="clear" w:color="auto" w:fill="FFFFFF"/>
        <w:textAlignment w:val="baseline"/>
        <w:rPr>
          <w:rFonts w:eastAsia="Calibri"/>
          <w:lang w:val="en-US" w:eastAsia="en-US"/>
        </w:rPr>
      </w:pPr>
      <w:hyperlink r:id="rId91" w:tgtFrame="_blank" w:history="1">
        <w:r w:rsidR="00423F4A" w:rsidRPr="0069113D">
          <w:rPr>
            <w:rFonts w:eastAsia="Calibri"/>
            <w:lang w:val="en-US" w:eastAsia="en-US"/>
          </w:rPr>
          <w:t>https://www.asylumlawdatabase.eu/en/case-law/ireland-high-court-27-april-2012-hm-v-minister-justice-and-law-reform-2012-iehc-176</w:t>
        </w:r>
      </w:hyperlink>
      <w:r w:rsidR="00423F4A" w:rsidRPr="0069113D">
        <w:rPr>
          <w:rFonts w:eastAsia="Calibri"/>
          <w:lang w:val="en-US" w:eastAsia="en-US"/>
        </w:rPr>
        <w:t> </w:t>
      </w:r>
    </w:p>
    <w:p w14:paraId="265D9052" w14:textId="77777777" w:rsidR="00423F4A" w:rsidRPr="0069113D" w:rsidRDefault="00457092" w:rsidP="00423F4A">
      <w:pPr>
        <w:shd w:val="clear" w:color="auto" w:fill="FFFFFF"/>
        <w:textAlignment w:val="baseline"/>
        <w:rPr>
          <w:rFonts w:eastAsia="Calibri"/>
          <w:lang w:val="en-US" w:eastAsia="en-US"/>
        </w:rPr>
      </w:pPr>
      <w:hyperlink r:id="rId92" w:anchor="content" w:tgtFrame="_blank" w:history="1">
        <w:r w:rsidR="00423F4A" w:rsidRPr="0069113D">
          <w:rPr>
            <w:rFonts w:eastAsia="Calibri"/>
            <w:lang w:val="en-US" w:eastAsia="en-US"/>
          </w:rPr>
          <w:t>Sweden - Migration Court of Appeal, 30 November 2011, UM 7850-10</w:t>
        </w:r>
      </w:hyperlink>
      <w:r w:rsidR="00423F4A" w:rsidRPr="0069113D">
        <w:rPr>
          <w:rFonts w:eastAsia="Calibri"/>
          <w:lang w:val="en-US" w:eastAsia="en-US"/>
        </w:rPr>
        <w:t> </w:t>
      </w:r>
    </w:p>
    <w:p w14:paraId="6E765069" w14:textId="77777777" w:rsidR="00423F4A" w:rsidRPr="0069113D" w:rsidRDefault="00457092" w:rsidP="00423F4A">
      <w:pPr>
        <w:shd w:val="clear" w:color="auto" w:fill="FFFFFF"/>
        <w:jc w:val="both"/>
        <w:textAlignment w:val="baseline"/>
        <w:rPr>
          <w:rFonts w:eastAsia="Calibri"/>
          <w:lang w:val="en-US" w:eastAsia="en-US"/>
        </w:rPr>
      </w:pPr>
      <w:hyperlink r:id="rId93" w:tgtFrame="_blank" w:history="1">
        <w:r w:rsidR="00423F4A" w:rsidRPr="0069113D">
          <w:rPr>
            <w:rFonts w:eastAsia="Calibri"/>
            <w:lang w:val="en-US" w:eastAsia="en-US"/>
          </w:rPr>
          <w:t>https://www.asylumlawdatabase.eu/en/case-law/sweden-migration-court-appeal-30-november-2011-um-7850-10</w:t>
        </w:r>
      </w:hyperlink>
      <w:r w:rsidR="00423F4A" w:rsidRPr="0069113D">
        <w:rPr>
          <w:rFonts w:eastAsia="Calibri"/>
          <w:lang w:val="en-US" w:eastAsia="en-US"/>
        </w:rPr>
        <w:t> </w:t>
      </w:r>
    </w:p>
    <w:p w14:paraId="4BF7B5F1" w14:textId="77777777" w:rsidR="00423F4A" w:rsidRPr="0069113D" w:rsidRDefault="00423F4A" w:rsidP="00423F4A">
      <w:pPr>
        <w:shd w:val="clear" w:color="auto" w:fill="FFFFFF"/>
        <w:jc w:val="both"/>
        <w:textAlignment w:val="baseline"/>
        <w:rPr>
          <w:rFonts w:eastAsia="Calibri"/>
          <w:lang w:val="en-US" w:eastAsia="en-US"/>
        </w:rPr>
      </w:pPr>
      <w:r w:rsidRPr="0069113D">
        <w:rPr>
          <w:rFonts w:eastAsia="Calibri"/>
          <w:lang w:val="en-US" w:eastAsia="en-US"/>
        </w:rPr>
        <w:lastRenderedPageBreak/>
        <w:t>Hathaway, James C- William S. Hick: Is there a Subjective Element in the Refugee Convention's Requirement of 'Well-Founded Fear'?  </w:t>
      </w:r>
    </w:p>
    <w:p w14:paraId="790BCAAB" w14:textId="77777777" w:rsidR="00423F4A" w:rsidRPr="0069113D" w:rsidRDefault="00457092" w:rsidP="00423F4A">
      <w:pPr>
        <w:shd w:val="clear" w:color="auto" w:fill="FFFFFF"/>
        <w:jc w:val="both"/>
        <w:textAlignment w:val="baseline"/>
        <w:rPr>
          <w:rFonts w:eastAsia="Calibri"/>
          <w:lang w:val="en-US" w:eastAsia="en-US"/>
        </w:rPr>
      </w:pPr>
      <w:hyperlink r:id="rId94" w:tgtFrame="_blank" w:history="1">
        <w:r w:rsidR="00423F4A" w:rsidRPr="0069113D">
          <w:rPr>
            <w:rFonts w:eastAsia="Calibri"/>
            <w:lang w:val="en-US" w:eastAsia="en-US"/>
          </w:rPr>
          <w:t>https://repository.law.umich.edu/cgi/viewcontent.cgi?article=2481&amp;context=articles</w:t>
        </w:r>
      </w:hyperlink>
      <w:r w:rsidR="00423F4A" w:rsidRPr="0069113D">
        <w:rPr>
          <w:rFonts w:eastAsia="Calibri"/>
          <w:lang w:val="en-US" w:eastAsia="en-US"/>
        </w:rPr>
        <w:t> </w:t>
      </w:r>
    </w:p>
    <w:p w14:paraId="546B0672" w14:textId="77777777" w:rsidR="00423F4A" w:rsidRPr="0069113D" w:rsidRDefault="00423F4A" w:rsidP="00423F4A">
      <w:pPr>
        <w:shd w:val="clear" w:color="auto" w:fill="FFFFFF"/>
        <w:jc w:val="both"/>
        <w:textAlignment w:val="baseline"/>
        <w:rPr>
          <w:rFonts w:eastAsia="Calibri"/>
          <w:lang w:val="en-US" w:eastAsia="en-US"/>
        </w:rPr>
      </w:pPr>
      <w:r w:rsidRPr="0069113D">
        <w:rPr>
          <w:rFonts w:eastAsia="Calibri"/>
          <w:lang w:val="en-US" w:eastAsia="en-US"/>
        </w:rPr>
        <w:t>Credibility assessment manual 1-2, Hungarian Helsinki Committee </w:t>
      </w:r>
    </w:p>
    <w:p w14:paraId="28E314DD" w14:textId="77777777" w:rsidR="00423F4A" w:rsidRPr="0069113D" w:rsidRDefault="00457092" w:rsidP="00423F4A">
      <w:pPr>
        <w:shd w:val="clear" w:color="auto" w:fill="FFFFFF"/>
        <w:jc w:val="both"/>
        <w:textAlignment w:val="baseline"/>
        <w:rPr>
          <w:rFonts w:eastAsia="Calibri"/>
          <w:lang w:val="en-US" w:eastAsia="en-US"/>
        </w:rPr>
      </w:pPr>
      <w:hyperlink r:id="rId95" w:tgtFrame="_blank" w:history="1">
        <w:r w:rsidR="00423F4A" w:rsidRPr="0069113D">
          <w:rPr>
            <w:rFonts w:eastAsia="Calibri"/>
            <w:lang w:val="en-US" w:eastAsia="en-US"/>
          </w:rPr>
          <w:t>https://helsinki.hu/wp-content/uploads/Credibility-Assessment-in-Asylum-Procedures-CREDO-manual.pdf</w:t>
        </w:r>
      </w:hyperlink>
      <w:r w:rsidR="00423F4A" w:rsidRPr="0069113D">
        <w:rPr>
          <w:rFonts w:eastAsia="Calibri"/>
          <w:lang w:val="en-US" w:eastAsia="en-US"/>
        </w:rPr>
        <w:t> </w:t>
      </w:r>
    </w:p>
    <w:p w14:paraId="2AA426C5" w14:textId="77777777" w:rsidR="00423F4A" w:rsidRPr="0069113D" w:rsidRDefault="00423F4A" w:rsidP="00423F4A">
      <w:pPr>
        <w:jc w:val="both"/>
        <w:rPr>
          <w:rFonts w:eastAsia="Calibri"/>
          <w:lang w:val="en-US" w:eastAsia="en-US"/>
        </w:rPr>
      </w:pPr>
      <w:r w:rsidRPr="0069113D">
        <w:rPr>
          <w:rFonts w:eastAsia="Calibri"/>
          <w:lang w:val="en-US" w:eastAsia="en-US"/>
        </w:rPr>
        <w:t xml:space="preserve">Hathaway, James C.: Is there a Subjective Element in the Refugee Convention's Requirement of 'Well-Founded Fear'? </w:t>
      </w:r>
    </w:p>
    <w:p w14:paraId="76702E27" w14:textId="77777777" w:rsidR="00423F4A" w:rsidRPr="0069113D" w:rsidRDefault="00423F4A" w:rsidP="00423F4A">
      <w:pPr>
        <w:jc w:val="both"/>
        <w:rPr>
          <w:rFonts w:eastAsia="Calibri"/>
          <w:lang w:val="en-US" w:eastAsia="en-US"/>
        </w:rPr>
      </w:pPr>
      <w:r w:rsidRPr="0069113D">
        <w:rPr>
          <w:rFonts w:eastAsia="Calibri"/>
          <w:lang w:val="en-US" w:eastAsia="en-US"/>
        </w:rPr>
        <w:t xml:space="preserve">https://repository.law.umich.edu/cgi/viewcontent.cgi?article=2481&amp;context=articles </w:t>
      </w:r>
    </w:p>
    <w:p w14:paraId="48A77F29" w14:textId="77777777" w:rsidR="00423F4A" w:rsidRPr="0069113D" w:rsidRDefault="00423F4A" w:rsidP="00423F4A">
      <w:pPr>
        <w:pStyle w:val="Cmsor1"/>
        <w:shd w:val="clear" w:color="auto" w:fill="FFFFFF"/>
        <w:spacing w:before="0" w:beforeAutospacing="0" w:after="0" w:afterAutospacing="0"/>
        <w:rPr>
          <w:rFonts w:eastAsia="Calibri"/>
          <w:b w:val="0"/>
          <w:bCs w:val="0"/>
          <w:kern w:val="0"/>
          <w:sz w:val="24"/>
          <w:szCs w:val="24"/>
          <w:lang w:val="en-US" w:eastAsia="en-US"/>
        </w:rPr>
      </w:pPr>
      <w:r w:rsidRPr="0069113D">
        <w:rPr>
          <w:rFonts w:eastAsia="Calibri"/>
          <w:b w:val="0"/>
          <w:bCs w:val="0"/>
          <w:kern w:val="0"/>
          <w:sz w:val="24"/>
          <w:szCs w:val="24"/>
          <w:lang w:val="en-US" w:eastAsia="en-US"/>
        </w:rPr>
        <w:t>White South African man not a legitimate refugee, judge says</w:t>
      </w:r>
    </w:p>
    <w:p w14:paraId="5CC61E6F" w14:textId="77777777" w:rsidR="00423F4A" w:rsidRPr="0069113D" w:rsidRDefault="00423F4A" w:rsidP="00423F4A">
      <w:pPr>
        <w:jc w:val="both"/>
        <w:rPr>
          <w:rFonts w:eastAsia="Calibri"/>
          <w:lang w:val="en-US" w:eastAsia="en-US"/>
        </w:rPr>
      </w:pPr>
      <w:r w:rsidRPr="0069113D">
        <w:rPr>
          <w:rFonts w:eastAsia="Calibri"/>
          <w:lang w:val="en-US" w:eastAsia="en-US"/>
        </w:rPr>
        <w:t xml:space="preserve">https://www.theglobeandmail.com/news/national/white-south-african-man-not-a-legitimate-refugee-judge-says/article1315387/ </w:t>
      </w:r>
    </w:p>
    <w:p w14:paraId="378A80A9" w14:textId="77777777" w:rsidR="00423F4A" w:rsidRDefault="00423F4A" w:rsidP="00423F4A">
      <w:pPr>
        <w:autoSpaceDE w:val="0"/>
        <w:autoSpaceDN w:val="0"/>
        <w:adjustRightInd w:val="0"/>
        <w:jc w:val="both"/>
        <w:rPr>
          <w:rFonts w:eastAsia="Calibri"/>
          <w:lang w:val="en-US" w:eastAsia="en-US"/>
        </w:rPr>
      </w:pPr>
      <w:r w:rsidRPr="00CD34EF">
        <w:rPr>
          <w:rFonts w:eastAsia="Calibri"/>
          <w:lang w:val="en-US" w:eastAsia="en-US"/>
        </w:rPr>
        <w:t>Julianna Beaudoin - Jennifer Danch: No Refuge: Hungarian Romani Refugee Claimants in Canada</w:t>
      </w:r>
    </w:p>
    <w:p w14:paraId="5776A24B" w14:textId="77777777" w:rsidR="00423F4A" w:rsidRPr="00CD34EF" w:rsidRDefault="00423F4A" w:rsidP="00423F4A">
      <w:pPr>
        <w:autoSpaceDE w:val="0"/>
        <w:autoSpaceDN w:val="0"/>
        <w:adjustRightInd w:val="0"/>
        <w:jc w:val="both"/>
        <w:rPr>
          <w:rFonts w:eastAsia="Calibri"/>
          <w:lang w:val="en-US" w:eastAsia="en-US"/>
        </w:rPr>
      </w:pPr>
      <w:r w:rsidRPr="0069113D">
        <w:rPr>
          <w:rFonts w:eastAsia="Calibri"/>
          <w:lang w:val="en-US" w:eastAsia="en-US"/>
        </w:rPr>
        <w:t>https://digitalcommons.osgoode.yorku.ca/ohlj/vol52/iss3/1/</w:t>
      </w:r>
    </w:p>
    <w:p w14:paraId="7D3CFB59" w14:textId="77777777" w:rsidR="00423F4A" w:rsidRPr="0069113D" w:rsidRDefault="00423F4A" w:rsidP="00423F4A">
      <w:pPr>
        <w:jc w:val="both"/>
        <w:rPr>
          <w:rFonts w:eastAsia="Calibri"/>
          <w:lang w:val="en-US" w:eastAsia="en-US"/>
        </w:rPr>
      </w:pPr>
      <w:r w:rsidRPr="0069113D">
        <w:rPr>
          <w:rFonts w:eastAsia="Calibri"/>
          <w:lang w:val="en-US" w:eastAsia="en-US"/>
        </w:rPr>
        <w:t> </w:t>
      </w:r>
      <w:hyperlink r:id="rId96" w:history="1">
        <w:r w:rsidRPr="0069113D">
          <w:rPr>
            <w:rFonts w:eastAsia="Calibri"/>
            <w:lang w:val="en-US" w:eastAsia="en-US"/>
          </w:rPr>
          <w:t>Gender-based asylum claims and non-refoulement: Articles 60 and 61 of the Istanbul Convention</w:t>
        </w:r>
      </w:hyperlink>
      <w:r w:rsidRPr="0069113D">
        <w:rPr>
          <w:rFonts w:eastAsia="Calibri"/>
          <w:lang w:val="en-US" w:eastAsia="en-US"/>
        </w:rPr>
        <w:t>.</w:t>
      </w:r>
    </w:p>
    <w:p w14:paraId="278378F3" w14:textId="77777777" w:rsidR="00423F4A" w:rsidRPr="0069113D" w:rsidRDefault="00457092" w:rsidP="00423F4A">
      <w:pPr>
        <w:jc w:val="both"/>
        <w:rPr>
          <w:rFonts w:eastAsia="Calibri"/>
          <w:lang w:val="en-US" w:eastAsia="en-US"/>
        </w:rPr>
      </w:pPr>
      <w:hyperlink r:id="rId97" w:history="1">
        <w:r w:rsidR="00423F4A" w:rsidRPr="0069113D">
          <w:rPr>
            <w:rFonts w:eastAsia="Calibri"/>
            <w:lang w:val="en-US" w:eastAsia="en-US"/>
          </w:rPr>
          <w:t>https://rm.coe.int/conventionistanbularticle60-61-web/1680995244</w:t>
        </w:r>
      </w:hyperlink>
    </w:p>
    <w:p w14:paraId="79C3C03D" w14:textId="77777777" w:rsidR="00423F4A" w:rsidRDefault="00423F4A" w:rsidP="00423F4A">
      <w:pPr>
        <w:pStyle w:val="Cmsor1"/>
        <w:pBdr>
          <w:bottom w:val="single" w:sz="6" w:space="0" w:color="002A3A"/>
        </w:pBdr>
        <w:shd w:val="clear" w:color="auto" w:fill="FFFFFF"/>
        <w:spacing w:before="0" w:beforeAutospacing="0" w:after="180" w:afterAutospacing="0" w:line="312" w:lineRule="atLeast"/>
        <w:rPr>
          <w:rFonts w:eastAsia="Calibri"/>
          <w:b w:val="0"/>
          <w:bCs w:val="0"/>
          <w:kern w:val="0"/>
          <w:sz w:val="24"/>
          <w:szCs w:val="24"/>
          <w:lang w:val="en-US" w:eastAsia="en-US"/>
        </w:rPr>
      </w:pPr>
      <w:r w:rsidRPr="0069113D">
        <w:rPr>
          <w:rFonts w:eastAsia="Calibri"/>
          <w:b w:val="0"/>
          <w:bCs w:val="0"/>
          <w:kern w:val="0"/>
          <w:sz w:val="24"/>
          <w:szCs w:val="24"/>
          <w:lang w:val="en-US" w:eastAsia="en-US"/>
        </w:rPr>
        <w:t>CJEU: Case C</w:t>
      </w:r>
      <w:r w:rsidRPr="0069113D">
        <w:rPr>
          <w:rFonts w:eastAsia="Calibri"/>
          <w:b w:val="0"/>
          <w:bCs w:val="0"/>
          <w:kern w:val="0"/>
          <w:sz w:val="24"/>
          <w:szCs w:val="24"/>
          <w:lang w:val="en-US" w:eastAsia="en-US"/>
        </w:rPr>
        <w:noBreakHyphen/>
        <w:t>472/13 Andre Lawrence Shepherd v Bundesrepublik Deutschland, 26 February 2015</w:t>
      </w:r>
    </w:p>
    <w:p w14:paraId="65B2ECAD" w14:textId="77777777" w:rsidR="00423F4A" w:rsidRPr="00742C51" w:rsidRDefault="00457092" w:rsidP="00423F4A">
      <w:pPr>
        <w:pStyle w:val="Cmsor1"/>
        <w:pBdr>
          <w:bottom w:val="single" w:sz="6" w:space="0" w:color="002A3A"/>
        </w:pBdr>
        <w:shd w:val="clear" w:color="auto" w:fill="FFFFFF"/>
        <w:spacing w:before="0" w:beforeAutospacing="0" w:after="180" w:afterAutospacing="0" w:line="312" w:lineRule="atLeast"/>
        <w:rPr>
          <w:rFonts w:eastAsia="Calibri"/>
          <w:b w:val="0"/>
          <w:bCs w:val="0"/>
          <w:kern w:val="0"/>
          <w:sz w:val="24"/>
          <w:szCs w:val="24"/>
          <w:lang w:val="en-US" w:eastAsia="en-US"/>
        </w:rPr>
      </w:pPr>
      <w:hyperlink r:id="rId98" w:history="1">
        <w:r w:rsidR="00423F4A" w:rsidRPr="00742C51">
          <w:rPr>
            <w:b w:val="0"/>
            <w:bCs w:val="0"/>
            <w:kern w:val="0"/>
            <w:sz w:val="24"/>
            <w:szCs w:val="24"/>
            <w:lang w:val="en-US" w:eastAsia="en-US"/>
          </w:rPr>
          <w:t>https://www.asylumlawdatabase.eu/en/content/cjeu-case-c%E2%80%9147213-andre-lawrence-shepherd-v-bundesrepublik-deutschland-26-february-2015</w:t>
        </w:r>
      </w:hyperlink>
    </w:p>
    <w:p w14:paraId="328E6529" w14:textId="77777777" w:rsidR="00E1453D" w:rsidRDefault="00E1453D" w:rsidP="00E1453D">
      <w:pPr>
        <w:jc w:val="both"/>
        <w:rPr>
          <w:u w:val="single"/>
        </w:rPr>
      </w:pPr>
    </w:p>
    <w:p w14:paraId="4BC29D5B" w14:textId="77777777" w:rsidR="00E1453D" w:rsidRDefault="00E1453D" w:rsidP="00E1453D">
      <w:pPr>
        <w:jc w:val="both"/>
        <w:rPr>
          <w:rStyle w:val="Hiperhivatkozs"/>
          <w:lang w:val="en-US"/>
        </w:rPr>
      </w:pPr>
    </w:p>
    <w:p w14:paraId="1285FC5E" w14:textId="235CDA61" w:rsidR="003E69FB" w:rsidRPr="00F6065C" w:rsidRDefault="003E69FB" w:rsidP="00E1453D">
      <w:pPr>
        <w:jc w:val="both"/>
        <w:rPr>
          <w:b/>
          <w:highlight w:val="lightGray"/>
          <w:lang w:val="en-US"/>
        </w:rPr>
      </w:pPr>
      <w:r w:rsidRPr="00F6065C">
        <w:rPr>
          <w:b/>
          <w:highlight w:val="lightGray"/>
          <w:lang w:val="en-US"/>
        </w:rPr>
        <w:t xml:space="preserve">Presentations: </w:t>
      </w:r>
    </w:p>
    <w:p w14:paraId="0E60C353" w14:textId="77777777" w:rsidR="00C13FFB" w:rsidRPr="00F6065C" w:rsidRDefault="00C13FFB" w:rsidP="005108C8">
      <w:pPr>
        <w:numPr>
          <w:ilvl w:val="0"/>
          <w:numId w:val="30"/>
        </w:numPr>
        <w:jc w:val="both"/>
        <w:rPr>
          <w:b/>
          <w:highlight w:val="darkGray"/>
          <w:lang w:val="en-US"/>
        </w:rPr>
      </w:pPr>
      <w:r w:rsidRPr="00F6065C">
        <w:rPr>
          <w:b/>
          <w:highlight w:val="darkGray"/>
          <w:lang w:val="en-US"/>
        </w:rPr>
        <w:t xml:space="preserve">McCleskey v. Kemp </w:t>
      </w:r>
    </w:p>
    <w:p w14:paraId="58E1D3B1" w14:textId="58137FFF" w:rsidR="00077E97" w:rsidRPr="005108C8" w:rsidRDefault="00C13FFB" w:rsidP="005108C8">
      <w:pPr>
        <w:numPr>
          <w:ilvl w:val="0"/>
          <w:numId w:val="30"/>
        </w:numPr>
        <w:jc w:val="both"/>
        <w:rPr>
          <w:b/>
          <w:highlight w:val="darkGray"/>
          <w:lang w:val="en-US"/>
        </w:rPr>
      </w:pPr>
      <w:r w:rsidRPr="005108C8">
        <w:rPr>
          <w:b/>
          <w:highlight w:val="darkGray"/>
          <w:lang w:val="en-US"/>
        </w:rPr>
        <w:t>Floyd v. City of New York</w:t>
      </w:r>
    </w:p>
    <w:p w14:paraId="1A70C034" w14:textId="77777777" w:rsidR="00423F4A" w:rsidRPr="005108C8" w:rsidRDefault="00423F4A" w:rsidP="005108C8">
      <w:pPr>
        <w:numPr>
          <w:ilvl w:val="0"/>
          <w:numId w:val="30"/>
        </w:numPr>
        <w:jc w:val="both"/>
        <w:rPr>
          <w:b/>
          <w:highlight w:val="darkGray"/>
          <w:lang w:val="en-US"/>
        </w:rPr>
      </w:pPr>
      <w:r w:rsidRPr="005108C8">
        <w:rPr>
          <w:b/>
          <w:highlight w:val="darkGray"/>
          <w:lang w:val="en-US"/>
        </w:rPr>
        <w:t>the refugee protection legal regime</w:t>
      </w:r>
    </w:p>
    <w:p w14:paraId="77EF7651" w14:textId="6D979E26" w:rsidR="00077E97" w:rsidRPr="005108C8" w:rsidRDefault="00E1453D" w:rsidP="005108C8">
      <w:pPr>
        <w:numPr>
          <w:ilvl w:val="0"/>
          <w:numId w:val="30"/>
        </w:numPr>
        <w:jc w:val="both"/>
        <w:rPr>
          <w:b/>
          <w:highlight w:val="darkGray"/>
          <w:lang w:val="en-US"/>
        </w:rPr>
      </w:pPr>
      <w:r w:rsidRPr="005108C8">
        <w:rPr>
          <w:b/>
          <w:highlight w:val="darkGray"/>
          <w:lang w:val="en-US"/>
        </w:rPr>
        <w:t xml:space="preserve">Hate speech: </w:t>
      </w:r>
      <w:r w:rsidR="00C13FFB" w:rsidRPr="005108C8">
        <w:rPr>
          <w:b/>
          <w:highlight w:val="darkGray"/>
          <w:lang w:val="en-US"/>
        </w:rPr>
        <w:t>The general question and the legal framework (ECRI, EU Framework decision, facebook vs Germany, etc.)</w:t>
      </w:r>
    </w:p>
    <w:p w14:paraId="54668884" w14:textId="77777777" w:rsidR="00077E97" w:rsidRPr="005108C8" w:rsidRDefault="00C13FFB" w:rsidP="005108C8">
      <w:pPr>
        <w:numPr>
          <w:ilvl w:val="0"/>
          <w:numId w:val="30"/>
        </w:numPr>
        <w:jc w:val="both"/>
        <w:rPr>
          <w:b/>
          <w:highlight w:val="darkGray"/>
          <w:lang w:val="en-US"/>
        </w:rPr>
      </w:pPr>
      <w:r w:rsidRPr="005108C8">
        <w:rPr>
          <w:b/>
          <w:highlight w:val="darkGray"/>
          <w:lang w:val="en-US"/>
        </w:rPr>
        <w:t>Giniewski v. France  (2006)</w:t>
      </w:r>
    </w:p>
    <w:p w14:paraId="734BB0A8" w14:textId="77777777" w:rsidR="00077E97" w:rsidRPr="005108C8" w:rsidRDefault="00C13FFB" w:rsidP="005108C8">
      <w:pPr>
        <w:numPr>
          <w:ilvl w:val="0"/>
          <w:numId w:val="30"/>
        </w:numPr>
        <w:jc w:val="both"/>
        <w:rPr>
          <w:b/>
          <w:highlight w:val="darkGray"/>
          <w:lang w:val="en-US"/>
        </w:rPr>
      </w:pPr>
      <w:r w:rsidRPr="005108C8">
        <w:rPr>
          <w:b/>
          <w:highlight w:val="darkGray"/>
          <w:lang w:val="en-US"/>
        </w:rPr>
        <w:t>Ibragim Ibragimov and Others v. Russia 28 August 2018</w:t>
      </w:r>
    </w:p>
    <w:p w14:paraId="4D265430" w14:textId="77777777" w:rsidR="00077E97" w:rsidRPr="00841EF8" w:rsidRDefault="00C13FFB" w:rsidP="005108C8">
      <w:pPr>
        <w:numPr>
          <w:ilvl w:val="0"/>
          <w:numId w:val="30"/>
        </w:numPr>
        <w:jc w:val="both"/>
        <w:rPr>
          <w:b/>
          <w:highlight w:val="darkGray"/>
          <w:lang w:val="en-US"/>
        </w:rPr>
      </w:pPr>
      <w:r w:rsidRPr="00841EF8">
        <w:rPr>
          <w:b/>
          <w:highlight w:val="darkGray"/>
          <w:lang w:val="en-US"/>
        </w:rPr>
        <w:t>Perinçek v. Switzerland 15 October 2015 (Grand Chamber)</w:t>
      </w:r>
    </w:p>
    <w:p w14:paraId="07A94B69" w14:textId="77777777" w:rsidR="00077E97" w:rsidRPr="00841EF8" w:rsidRDefault="00C13FFB" w:rsidP="005108C8">
      <w:pPr>
        <w:numPr>
          <w:ilvl w:val="0"/>
          <w:numId w:val="30"/>
        </w:numPr>
        <w:jc w:val="both"/>
        <w:rPr>
          <w:b/>
          <w:highlight w:val="darkGray"/>
          <w:lang w:val="en-US"/>
        </w:rPr>
      </w:pPr>
      <w:r w:rsidRPr="00841EF8">
        <w:rPr>
          <w:b/>
          <w:highlight w:val="darkGray"/>
          <w:lang w:val="en-US"/>
        </w:rPr>
        <w:t>Delfi AS v. Estonia 16 June 2015</w:t>
      </w:r>
    </w:p>
    <w:p w14:paraId="5F87BF7E" w14:textId="77777777" w:rsidR="00077E97" w:rsidRPr="00841EF8" w:rsidRDefault="00C13FFB" w:rsidP="005108C8">
      <w:pPr>
        <w:numPr>
          <w:ilvl w:val="0"/>
          <w:numId w:val="30"/>
        </w:numPr>
        <w:jc w:val="both"/>
        <w:rPr>
          <w:b/>
          <w:highlight w:val="darkGray"/>
          <w:lang w:val="en-US"/>
        </w:rPr>
      </w:pPr>
      <w:r w:rsidRPr="00841EF8">
        <w:rPr>
          <w:b/>
          <w:highlight w:val="darkGray"/>
          <w:lang w:val="en-US"/>
        </w:rPr>
        <w:t>National Socialist Party v. Skokie, 432 U.S. 43 (1977)</w:t>
      </w:r>
    </w:p>
    <w:p w14:paraId="53238E8D" w14:textId="3D6179BB" w:rsidR="00C13FFB" w:rsidRPr="00841EF8" w:rsidRDefault="00C13FFB" w:rsidP="005108C8">
      <w:pPr>
        <w:numPr>
          <w:ilvl w:val="0"/>
          <w:numId w:val="30"/>
        </w:numPr>
        <w:jc w:val="both"/>
        <w:rPr>
          <w:b/>
          <w:highlight w:val="darkGray"/>
          <w:lang w:val="en-US"/>
        </w:rPr>
      </w:pPr>
      <w:r w:rsidRPr="00841EF8">
        <w:rPr>
          <w:b/>
          <w:highlight w:val="darkGray"/>
          <w:lang w:val="en-US"/>
        </w:rPr>
        <w:t>Virginia v. Black et al (2003)</w:t>
      </w:r>
    </w:p>
    <w:p w14:paraId="5ABB15CD" w14:textId="643220AF" w:rsidR="00111F7B" w:rsidRDefault="00111F7B" w:rsidP="003E69FB">
      <w:pPr>
        <w:jc w:val="both"/>
        <w:rPr>
          <w:lang w:val="en-US"/>
        </w:rPr>
      </w:pPr>
    </w:p>
    <w:p w14:paraId="57520790" w14:textId="77777777" w:rsidR="00B83D61" w:rsidRDefault="00B83D61" w:rsidP="00B83D61">
      <w:pPr>
        <w:jc w:val="both"/>
        <w:rPr>
          <w:b/>
        </w:rPr>
      </w:pPr>
      <w:r w:rsidRPr="00AC22F9">
        <w:rPr>
          <w:b/>
        </w:rPr>
        <w:t>Class 9. November 22</w:t>
      </w:r>
      <w:r>
        <w:rPr>
          <w:b/>
        </w:rPr>
        <w:t xml:space="preserve">. </w:t>
      </w:r>
      <w:r w:rsidRPr="002E4C49">
        <w:rPr>
          <w:b/>
          <w:lang w:val="en-US"/>
        </w:rPr>
        <w:t>Special legal regimes I</w:t>
      </w:r>
      <w:r>
        <w:rPr>
          <w:b/>
        </w:rPr>
        <w:t>I</w:t>
      </w:r>
      <w:r w:rsidRPr="002E4C49">
        <w:rPr>
          <w:b/>
          <w:lang w:val="en-US"/>
        </w:rPr>
        <w:t>I.</w:t>
      </w:r>
      <w:r>
        <w:rPr>
          <w:b/>
          <w:color w:val="FF0000"/>
        </w:rPr>
        <w:t xml:space="preserve"> </w:t>
      </w:r>
      <w:r w:rsidRPr="002E4C49">
        <w:rPr>
          <w:b/>
          <w:lang w:val="en-US"/>
        </w:rPr>
        <w:t xml:space="preserve">The political representation of </w:t>
      </w:r>
      <w:r>
        <w:rPr>
          <w:b/>
        </w:rPr>
        <w:t xml:space="preserve">minorities and ethnic registers. </w:t>
      </w:r>
      <w:r w:rsidRPr="00AC22F9">
        <w:rPr>
          <w:b/>
        </w:rPr>
        <w:t>Abstract for final paper and presentation due.</w:t>
      </w:r>
    </w:p>
    <w:p w14:paraId="007E21FC" w14:textId="77777777" w:rsidR="00B83D61" w:rsidRDefault="00B83D61" w:rsidP="00B83D61">
      <w:pPr>
        <w:jc w:val="both"/>
        <w:rPr>
          <w:i/>
          <w:iCs/>
          <w:lang w:val="en-US"/>
        </w:rPr>
      </w:pPr>
    </w:p>
    <w:p w14:paraId="47FB12EC" w14:textId="1A350E9B" w:rsidR="00B83D61" w:rsidRDefault="00B83D61" w:rsidP="00B83D61">
      <w:pPr>
        <w:jc w:val="both"/>
        <w:rPr>
          <w:i/>
          <w:iCs/>
          <w:lang w:val="en-US"/>
        </w:rPr>
      </w:pPr>
      <w:r>
        <w:rPr>
          <w:i/>
          <w:iCs/>
          <w:lang w:val="en-US"/>
        </w:rPr>
        <w:t>Mandatory r</w:t>
      </w:r>
      <w:r w:rsidRPr="00CD34EF">
        <w:rPr>
          <w:i/>
          <w:iCs/>
          <w:lang w:val="en-US"/>
        </w:rPr>
        <w:t>e</w:t>
      </w:r>
      <w:r>
        <w:rPr>
          <w:i/>
          <w:iCs/>
          <w:lang w:val="en-US"/>
        </w:rPr>
        <w:t>adings</w:t>
      </w:r>
    </w:p>
    <w:p w14:paraId="0611C194" w14:textId="77777777" w:rsidR="00B83D61" w:rsidRPr="003E69FB" w:rsidRDefault="00B83D61" w:rsidP="00B83D61">
      <w:pPr>
        <w:shd w:val="clear" w:color="auto" w:fill="FFFFFF"/>
        <w:jc w:val="both"/>
        <w:textAlignment w:val="baseline"/>
        <w:rPr>
          <w:rFonts w:ascii="Segoe UI" w:hAnsi="Segoe UI" w:cs="Segoe UI"/>
          <w:sz w:val="18"/>
          <w:szCs w:val="18"/>
        </w:rPr>
      </w:pPr>
      <w:r w:rsidRPr="003E69FB">
        <w:t xml:space="preserve">Andrew Reynolds: Reserved Seats in National Legislatures: A Research Note, Legislative </w:t>
      </w:r>
    </w:p>
    <w:p w14:paraId="723BF612" w14:textId="77777777" w:rsidR="00B83D61" w:rsidRPr="003E69FB" w:rsidRDefault="00B83D61" w:rsidP="00B83D61">
      <w:pPr>
        <w:shd w:val="clear" w:color="auto" w:fill="FFFFFF"/>
        <w:jc w:val="both"/>
        <w:textAlignment w:val="baseline"/>
        <w:rPr>
          <w:rFonts w:ascii="Segoe UI" w:hAnsi="Segoe UI" w:cs="Segoe UI"/>
          <w:sz w:val="18"/>
          <w:szCs w:val="18"/>
        </w:rPr>
      </w:pPr>
      <w:r w:rsidRPr="003E69FB">
        <w:t>Studies Quarterly, Vol. 30, No. 2 (May, 2005), pp. 301-310  </w:t>
      </w:r>
    </w:p>
    <w:p w14:paraId="015C104C" w14:textId="77777777" w:rsidR="00B83D61" w:rsidRPr="003E69FB" w:rsidRDefault="00B83D61" w:rsidP="00B83D61">
      <w:pPr>
        <w:shd w:val="clear" w:color="auto" w:fill="FFFFFF"/>
        <w:jc w:val="both"/>
        <w:textAlignment w:val="baseline"/>
        <w:rPr>
          <w:rFonts w:ascii="Segoe UI" w:hAnsi="Segoe UI" w:cs="Segoe UI"/>
          <w:sz w:val="18"/>
          <w:szCs w:val="18"/>
        </w:rPr>
      </w:pPr>
      <w:r w:rsidRPr="003E69FB">
        <w:t>https://onlinelibrary.wiley.com/doi/abs/10.3162/036298005X201563  </w:t>
      </w:r>
    </w:p>
    <w:p w14:paraId="17578C1C" w14:textId="77777777" w:rsidR="00B83D61" w:rsidRPr="0069113D" w:rsidRDefault="00B83D61" w:rsidP="00B83D61">
      <w:pPr>
        <w:jc w:val="both"/>
        <w:rPr>
          <w:rFonts w:eastAsia="Calibri"/>
          <w:i/>
          <w:iCs/>
          <w:lang w:val="en-US" w:eastAsia="en-US"/>
        </w:rPr>
      </w:pPr>
      <w:r w:rsidRPr="0069113D">
        <w:rPr>
          <w:rFonts w:eastAsia="Calibri"/>
          <w:i/>
          <w:iCs/>
          <w:lang w:val="en-US" w:eastAsia="en-US"/>
        </w:rPr>
        <w:t>Recommended readings</w:t>
      </w:r>
    </w:p>
    <w:p w14:paraId="14A6BBF5" w14:textId="77777777" w:rsidR="00B83D61" w:rsidRPr="00CD34EF" w:rsidRDefault="00B83D61" w:rsidP="00B83D61">
      <w:pPr>
        <w:jc w:val="both"/>
        <w:rPr>
          <w:lang w:val="en-US"/>
        </w:rPr>
      </w:pPr>
      <w:r w:rsidRPr="00CD34EF">
        <w:rPr>
          <w:lang w:val="en-US"/>
        </w:rPr>
        <w:t>Lucy Claridge: Discrimination and political participation in Bosnia and Herzegovina Sejdic and Finci v. Bosnia and Herzegovina, MRG, pp. 1-8</w:t>
      </w:r>
    </w:p>
    <w:p w14:paraId="5B8558CE" w14:textId="77777777" w:rsidR="00B83D61" w:rsidRDefault="00457092" w:rsidP="00B83D61">
      <w:pPr>
        <w:jc w:val="both"/>
        <w:rPr>
          <w:rFonts w:eastAsia="Calibri"/>
          <w:i/>
          <w:iCs/>
          <w:lang w:val="en-US" w:eastAsia="en-US"/>
        </w:rPr>
      </w:pPr>
      <w:hyperlink r:id="rId99" w:history="1">
        <w:r w:rsidR="00B83D61" w:rsidRPr="00956D84">
          <w:rPr>
            <w:rStyle w:val="Hiperhivatkozs"/>
            <w:rFonts w:eastAsia="Calibri"/>
            <w:i/>
            <w:iCs/>
            <w:lang w:val="en-US" w:eastAsia="en-US"/>
          </w:rPr>
          <w:t>https://minorityrights.org/wp-content/uploads/old-site-downloads/download-787-Briefing-Paper-Discrimination-and-political-participation-in-Bosnia-and-Herzegovina.pdf</w:t>
        </w:r>
      </w:hyperlink>
    </w:p>
    <w:p w14:paraId="25ACB685" w14:textId="77777777" w:rsidR="00B83D61" w:rsidRDefault="00B83D61" w:rsidP="00B83D61">
      <w:pPr>
        <w:jc w:val="both"/>
        <w:rPr>
          <w:lang w:val="en-US"/>
        </w:rPr>
      </w:pPr>
      <w:r w:rsidRPr="00CD34EF">
        <w:rPr>
          <w:lang w:val="en-US"/>
        </w:rPr>
        <w:t>Advisory committee on the FCNM commentary on the effective participation of persons belonging to national minorities in cultural, social and economic life and public affairs</w:t>
      </w:r>
    </w:p>
    <w:p w14:paraId="6DE2E46E" w14:textId="77777777" w:rsidR="00B83D61" w:rsidRDefault="00457092" w:rsidP="00B83D61">
      <w:pPr>
        <w:jc w:val="both"/>
        <w:rPr>
          <w:lang w:val="en-US"/>
        </w:rPr>
      </w:pPr>
      <w:hyperlink r:id="rId100" w:history="1">
        <w:r w:rsidR="00B83D61" w:rsidRPr="00956D84">
          <w:rPr>
            <w:rStyle w:val="Hiperhivatkozs"/>
            <w:lang w:val="en-US"/>
          </w:rPr>
          <w:t>https://rm.coe.int/CoERMPublicCommonSearchServices/DisplayDCTMContent?documentId=09000016800bc7e8</w:t>
        </w:r>
      </w:hyperlink>
    </w:p>
    <w:p w14:paraId="3462412E" w14:textId="77777777" w:rsidR="00B83D61" w:rsidRDefault="00B83D61" w:rsidP="00B83D61">
      <w:pPr>
        <w:jc w:val="both"/>
        <w:rPr>
          <w:lang w:val="en-US"/>
        </w:rPr>
      </w:pPr>
      <w:r w:rsidRPr="00CD34EF">
        <w:rPr>
          <w:lang w:val="en-US"/>
        </w:rPr>
        <w:t>Venice commission Report on electoral rules and affirmative action for national minorities’ participation in decision-making process in European countries, 2004, pp. 1-18</w:t>
      </w:r>
    </w:p>
    <w:p w14:paraId="386B46DF" w14:textId="77777777" w:rsidR="00B83D61" w:rsidRDefault="00457092" w:rsidP="00B83D61">
      <w:pPr>
        <w:jc w:val="both"/>
        <w:rPr>
          <w:lang w:val="en-US"/>
        </w:rPr>
      </w:pPr>
      <w:hyperlink r:id="rId101" w:history="1">
        <w:r w:rsidR="00B83D61" w:rsidRPr="00956D84">
          <w:rPr>
            <w:rStyle w:val="Hiperhivatkozs"/>
            <w:lang w:val="en-US"/>
          </w:rPr>
          <w:t>https://www.venice.coe.int/webforms/documents/default.aspx?pdffile=CDL-AD(2005)009-e</w:t>
        </w:r>
      </w:hyperlink>
    </w:p>
    <w:p w14:paraId="068AA598" w14:textId="77777777" w:rsidR="00B83D61" w:rsidRDefault="00B83D61" w:rsidP="00B83D61">
      <w:pPr>
        <w:jc w:val="both"/>
        <w:rPr>
          <w:lang w:val="en-US"/>
        </w:rPr>
      </w:pPr>
      <w:r w:rsidRPr="00CD34EF">
        <w:rPr>
          <w:lang w:val="en-US"/>
        </w:rPr>
        <w:t>Sejdic and Finci v. Bosnia and Herzegovina</w:t>
      </w:r>
    </w:p>
    <w:p w14:paraId="0FFF5DC3" w14:textId="77777777" w:rsidR="00B83D61" w:rsidRPr="00CD34EF" w:rsidRDefault="00B83D61" w:rsidP="00B83D61">
      <w:pPr>
        <w:jc w:val="both"/>
        <w:rPr>
          <w:lang w:val="en-US"/>
        </w:rPr>
      </w:pPr>
      <w:r w:rsidRPr="003E69FB">
        <w:rPr>
          <w:lang w:val="en-US"/>
        </w:rPr>
        <w:t>http://hudoc.echr.coe.int/app/conversion/pdf/?library=ECHR&amp;id=001-96491&amp;filename=001-96491.pdf&amp;TID=igauxmghdq</w:t>
      </w:r>
    </w:p>
    <w:p w14:paraId="52BCB564" w14:textId="77777777" w:rsidR="00B83D61" w:rsidRDefault="00B83D61" w:rsidP="00B83D61">
      <w:pPr>
        <w:rPr>
          <w:lang w:val="en-US"/>
        </w:rPr>
      </w:pPr>
      <w:r w:rsidRPr="00CD34EF">
        <w:rPr>
          <w:lang w:val="en-US"/>
        </w:rPr>
        <w:t>Pilav v. Bosnia and Herzegonvina</w:t>
      </w:r>
    </w:p>
    <w:p w14:paraId="2C8795F8" w14:textId="77777777" w:rsidR="00B83D61" w:rsidRPr="00CD34EF" w:rsidRDefault="00B83D61" w:rsidP="00B83D61">
      <w:pPr>
        <w:rPr>
          <w:lang w:val="en-US"/>
        </w:rPr>
      </w:pPr>
      <w:r w:rsidRPr="003E69FB">
        <w:rPr>
          <w:lang w:val="en-US"/>
        </w:rPr>
        <w:t>https://international.vlex.com/vid/pilav-v-bosnia-and-642250905</w:t>
      </w:r>
    </w:p>
    <w:p w14:paraId="6891205C" w14:textId="77777777" w:rsidR="00B83D61" w:rsidRDefault="00B83D61" w:rsidP="00B83D61">
      <w:pPr>
        <w:rPr>
          <w:lang w:val="en-US"/>
        </w:rPr>
      </w:pPr>
      <w:r w:rsidRPr="00CD34EF">
        <w:rPr>
          <w:lang w:val="en-US"/>
        </w:rPr>
        <w:t>Collateral Damage of the Dayton Peace Agreement: Discrimination Against Minorities in</w:t>
      </w:r>
      <w:r>
        <w:rPr>
          <w:lang w:val="en-US"/>
        </w:rPr>
        <w:t xml:space="preserve"> </w:t>
      </w:r>
      <w:r w:rsidRPr="00CD34EF">
        <w:rPr>
          <w:lang w:val="en-US"/>
        </w:rPr>
        <w:t>Bosnia and Herzegovina, Twenty Years On, Minority Rights Group International, 2015</w:t>
      </w:r>
    </w:p>
    <w:p w14:paraId="22935E63" w14:textId="77777777" w:rsidR="00B83D61" w:rsidRPr="003E69FB" w:rsidRDefault="00B83D61" w:rsidP="00B83D61">
      <w:pPr>
        <w:jc w:val="both"/>
        <w:rPr>
          <w:lang w:val="en-US"/>
        </w:rPr>
      </w:pPr>
      <w:r w:rsidRPr="003E69FB">
        <w:rPr>
          <w:lang w:val="en-US"/>
        </w:rPr>
        <w:t>Bosnia and Herzegovina: Ethnic Discrimination a Key Barrier</w:t>
      </w:r>
    </w:p>
    <w:p w14:paraId="0A98C433" w14:textId="77777777" w:rsidR="00B83D61" w:rsidRDefault="00457092" w:rsidP="00B83D61">
      <w:pPr>
        <w:jc w:val="both"/>
        <w:rPr>
          <w:lang w:val="en-US"/>
        </w:rPr>
      </w:pPr>
      <w:hyperlink r:id="rId102" w:history="1">
        <w:r w:rsidR="00B83D61" w:rsidRPr="003E69FB">
          <w:rPr>
            <w:lang w:val="en-US"/>
          </w:rPr>
          <w:t>https://www.hrw.org/node/336681/printable/print</w:t>
        </w:r>
      </w:hyperlink>
    </w:p>
    <w:p w14:paraId="21AB8FE7" w14:textId="77777777" w:rsidR="00B83D61" w:rsidRDefault="00B83D61" w:rsidP="00B83D61">
      <w:pPr>
        <w:jc w:val="both"/>
      </w:pPr>
      <w:r>
        <w:t xml:space="preserve">The Hungarian Minority Self-Government System as a Means of Increasing Romani Political Participation </w:t>
      </w:r>
    </w:p>
    <w:p w14:paraId="127DC41F" w14:textId="77777777" w:rsidR="005108C8" w:rsidRDefault="005108C8" w:rsidP="005108C8">
      <w:pPr>
        <w:jc w:val="both"/>
        <w:rPr>
          <w:rStyle w:val="Hiperhivatkozs"/>
          <w:lang w:val="en-US"/>
        </w:rPr>
      </w:pPr>
    </w:p>
    <w:p w14:paraId="7DD99F04" w14:textId="77777777" w:rsidR="005108C8" w:rsidRPr="00F6065C" w:rsidRDefault="005108C8" w:rsidP="005108C8">
      <w:pPr>
        <w:jc w:val="both"/>
        <w:rPr>
          <w:b/>
          <w:highlight w:val="lightGray"/>
          <w:lang w:val="en-US"/>
        </w:rPr>
      </w:pPr>
      <w:r w:rsidRPr="00F6065C">
        <w:rPr>
          <w:b/>
          <w:highlight w:val="lightGray"/>
          <w:lang w:val="en-US"/>
        </w:rPr>
        <w:t xml:space="preserve">Presentations: </w:t>
      </w:r>
    </w:p>
    <w:p w14:paraId="20B660C7" w14:textId="77777777" w:rsidR="005108C8" w:rsidRPr="00F6065C" w:rsidRDefault="005108C8" w:rsidP="005108C8">
      <w:pPr>
        <w:numPr>
          <w:ilvl w:val="0"/>
          <w:numId w:val="30"/>
        </w:numPr>
        <w:jc w:val="both"/>
        <w:rPr>
          <w:b/>
          <w:highlight w:val="darkGray"/>
          <w:lang w:val="en-US"/>
        </w:rPr>
      </w:pPr>
      <w:r w:rsidRPr="00F6065C">
        <w:rPr>
          <w:b/>
          <w:highlight w:val="darkGray"/>
          <w:lang w:val="en-US"/>
        </w:rPr>
        <w:t>Models of participation (Venice Commmission, FCNM AC)</w:t>
      </w:r>
    </w:p>
    <w:p w14:paraId="740A22AF" w14:textId="43E1870A" w:rsidR="00267E5C" w:rsidRDefault="005108C8" w:rsidP="00267E5C">
      <w:pPr>
        <w:numPr>
          <w:ilvl w:val="0"/>
          <w:numId w:val="30"/>
        </w:numPr>
        <w:jc w:val="both"/>
        <w:rPr>
          <w:b/>
          <w:highlight w:val="darkGray"/>
          <w:lang w:val="en-US"/>
        </w:rPr>
      </w:pPr>
      <w:r w:rsidRPr="00F6065C">
        <w:rPr>
          <w:b/>
          <w:highlight w:val="darkGray"/>
          <w:lang w:val="en-US"/>
        </w:rPr>
        <w:t>Sejdic and Finci v. Bosnia and Herzegovina, Pilav v. Bosnia and Herzegonvina</w:t>
      </w:r>
      <w:r w:rsidR="00267E5C" w:rsidRPr="00267E5C">
        <w:rPr>
          <w:b/>
          <w:highlight w:val="darkGray"/>
          <w:lang w:val="en-US"/>
        </w:rPr>
        <w:t xml:space="preserve"> </w:t>
      </w:r>
      <w:r w:rsidR="00267E5C" w:rsidRPr="00423F4A">
        <w:rPr>
          <w:b/>
          <w:highlight w:val="darkGray"/>
          <w:lang w:val="en-US"/>
        </w:rPr>
        <w:t>Rice v. Cayetano, Morton v Mancari</w:t>
      </w:r>
    </w:p>
    <w:p w14:paraId="0FAB83BE" w14:textId="77777777" w:rsidR="005108C8" w:rsidRPr="00F6065C" w:rsidRDefault="005108C8" w:rsidP="005108C8">
      <w:pPr>
        <w:numPr>
          <w:ilvl w:val="0"/>
          <w:numId w:val="30"/>
        </w:numPr>
        <w:jc w:val="both"/>
        <w:rPr>
          <w:b/>
          <w:highlight w:val="darkGray"/>
          <w:lang w:val="en-US"/>
        </w:rPr>
      </w:pPr>
    </w:p>
    <w:p w14:paraId="41E9D482" w14:textId="77777777" w:rsidR="005108C8" w:rsidRPr="00C13FFB" w:rsidRDefault="005108C8" w:rsidP="005108C8">
      <w:pPr>
        <w:numPr>
          <w:ilvl w:val="0"/>
          <w:numId w:val="30"/>
        </w:numPr>
        <w:jc w:val="both"/>
        <w:rPr>
          <w:b/>
          <w:highlight w:val="darkGray"/>
          <w:lang w:val="en-US"/>
        </w:rPr>
      </w:pPr>
      <w:r w:rsidRPr="005108C8">
        <w:rPr>
          <w:b/>
          <w:highlight w:val="darkGray"/>
          <w:lang w:val="en-US"/>
        </w:rPr>
        <w:t xml:space="preserve">The Hungarian Minority Self-Government System </w:t>
      </w:r>
    </w:p>
    <w:p w14:paraId="0B9C503C" w14:textId="77777777" w:rsidR="006B6F0C" w:rsidRDefault="006B6F0C" w:rsidP="00B7644B">
      <w:pPr>
        <w:jc w:val="both"/>
      </w:pPr>
    </w:p>
    <w:p w14:paraId="15AF78F9" w14:textId="77777777" w:rsidR="00423F4A" w:rsidRDefault="00423F4A" w:rsidP="001952E4">
      <w:pPr>
        <w:jc w:val="both"/>
        <w:rPr>
          <w:b/>
        </w:rPr>
      </w:pPr>
      <w:r w:rsidRPr="00BC0997">
        <w:rPr>
          <w:b/>
        </w:rPr>
        <w:t>Class 1</w:t>
      </w:r>
      <w:r>
        <w:rPr>
          <w:b/>
        </w:rPr>
        <w:t>0-11</w:t>
      </w:r>
      <w:r w:rsidRPr="00BC0997">
        <w:rPr>
          <w:b/>
        </w:rPr>
        <w:t xml:space="preserve">. November 29. Double session, class roundtable: national reports and case studies  </w:t>
      </w:r>
    </w:p>
    <w:p w14:paraId="481795F6" w14:textId="3EEC98D2" w:rsidR="001952E4" w:rsidRPr="00D13AFA" w:rsidRDefault="001952E4" w:rsidP="001952E4">
      <w:pPr>
        <w:jc w:val="both"/>
      </w:pPr>
      <w:r w:rsidRPr="00841EF8">
        <w:t xml:space="preserve">Students need to concisely prepare a presentation on a chosen topic </w:t>
      </w:r>
      <w:r w:rsidRPr="00841EF8">
        <w:rPr>
          <w:snapToGrid w:val="0"/>
        </w:rPr>
        <w:t xml:space="preserve">critically analyzing readings, </w:t>
      </w:r>
      <w:r w:rsidRPr="00841EF8">
        <w:t xml:space="preserve">or a case study or a country report. The presentation needs to be 10 minutes (timing will be strictly monitored) and be accompanied by a power point presentation (which needs to be 10 slides, excluding cover, references and end slide). The content or topic of the presentation </w:t>
      </w:r>
      <w:r w:rsidR="00841EF8">
        <w:t>can</w:t>
      </w:r>
      <w:r w:rsidRPr="00841EF8">
        <w:t xml:space="preserve"> be linked to the final paper.</w:t>
      </w:r>
      <w:r>
        <w:t xml:space="preserve"> </w:t>
      </w:r>
    </w:p>
    <w:p w14:paraId="7BD649D9" w14:textId="77777777" w:rsidR="00901CAD" w:rsidRPr="003A644F" w:rsidRDefault="00901CAD" w:rsidP="00901CAD">
      <w:pPr>
        <w:ind w:left="360"/>
        <w:jc w:val="both"/>
        <w:rPr>
          <w:b/>
          <w:lang w:val="en-US"/>
        </w:rPr>
      </w:pPr>
    </w:p>
    <w:p w14:paraId="487662E8" w14:textId="77777777" w:rsidR="007F3939" w:rsidRPr="00A366C3" w:rsidRDefault="007F3939" w:rsidP="007F3939">
      <w:pPr>
        <w:jc w:val="both"/>
        <w:rPr>
          <w:b/>
          <w:highlight w:val="cyan"/>
          <w:lang w:val="en-US"/>
        </w:rPr>
      </w:pPr>
    </w:p>
    <w:sectPr w:rsidR="007F3939" w:rsidRPr="00A366C3">
      <w:footerReference w:type="even" r:id="rId103"/>
      <w:footerReference w:type="default" r:id="rId1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B7A5" w14:textId="77777777" w:rsidR="00457092" w:rsidRDefault="00457092">
      <w:r>
        <w:separator/>
      </w:r>
    </w:p>
  </w:endnote>
  <w:endnote w:type="continuationSeparator" w:id="0">
    <w:p w14:paraId="04801652" w14:textId="77777777" w:rsidR="00457092" w:rsidRDefault="0045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axlinePro-Bold">
    <w:altName w:val="Arial"/>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default"/>
    <w:sig w:usb0="00000003" w:usb1="00000000" w:usb2="00000000" w:usb3="00000000" w:csb0="00000001" w:csb1="00000000"/>
  </w:font>
  <w:font w:name="Zurich Lt BT">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Not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3BD8" w14:textId="77777777" w:rsidR="00182AD0" w:rsidRDefault="00182AD0" w:rsidP="001D09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1685CFEC" w14:textId="77777777" w:rsidR="00182AD0" w:rsidRDefault="00182AD0" w:rsidP="00017DDF">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87425"/>
      <w:docPartObj>
        <w:docPartGallery w:val="Page Numbers (Bottom of Page)"/>
        <w:docPartUnique/>
      </w:docPartObj>
    </w:sdtPr>
    <w:sdtEndPr/>
    <w:sdtContent>
      <w:p w14:paraId="2D0BE8FA" w14:textId="430ACFD7" w:rsidR="00AC5E3D" w:rsidRDefault="00AC5E3D">
        <w:pPr>
          <w:pStyle w:val="llb"/>
          <w:jc w:val="center"/>
        </w:pPr>
        <w:r>
          <w:fldChar w:fldCharType="begin"/>
        </w:r>
        <w:r>
          <w:instrText>PAGE   \* MERGEFORMAT</w:instrText>
        </w:r>
        <w:r>
          <w:fldChar w:fldCharType="separate"/>
        </w:r>
        <w:r w:rsidR="00A12DD7">
          <w:rPr>
            <w:noProof/>
          </w:rPr>
          <w:t>1</w:t>
        </w:r>
        <w:r>
          <w:fldChar w:fldCharType="end"/>
        </w:r>
      </w:p>
    </w:sdtContent>
  </w:sdt>
  <w:p w14:paraId="35746FEF" w14:textId="77777777" w:rsidR="00182AD0" w:rsidRDefault="00182AD0" w:rsidP="00017DDF">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1DC86" w14:textId="77777777" w:rsidR="00457092" w:rsidRDefault="00457092">
      <w:r>
        <w:separator/>
      </w:r>
    </w:p>
  </w:footnote>
  <w:footnote w:type="continuationSeparator" w:id="0">
    <w:p w14:paraId="0C9D93BB" w14:textId="77777777" w:rsidR="00457092" w:rsidRDefault="00457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371"/>
    <w:multiLevelType w:val="hybridMultilevel"/>
    <w:tmpl w:val="A832199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2E3A64"/>
    <w:multiLevelType w:val="hybridMultilevel"/>
    <w:tmpl w:val="08C4895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3C41FF1"/>
    <w:multiLevelType w:val="hybridMultilevel"/>
    <w:tmpl w:val="8F763C1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62F4A7A"/>
    <w:multiLevelType w:val="multilevel"/>
    <w:tmpl w:val="D84EE92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345CA"/>
    <w:multiLevelType w:val="hybridMultilevel"/>
    <w:tmpl w:val="165C2902"/>
    <w:lvl w:ilvl="0" w:tplc="03DE97E8">
      <w:start w:val="1"/>
      <w:numFmt w:val="lowerLetter"/>
      <w:lvlText w:val="%1)"/>
      <w:lvlJc w:val="left"/>
      <w:pPr>
        <w:ind w:left="1780" w:hanging="360"/>
      </w:pPr>
      <w:rPr>
        <w:rFonts w:hint="default"/>
      </w:rPr>
    </w:lvl>
    <w:lvl w:ilvl="1" w:tplc="040E0019" w:tentative="1">
      <w:start w:val="1"/>
      <w:numFmt w:val="lowerLetter"/>
      <w:lvlText w:val="%2."/>
      <w:lvlJc w:val="left"/>
      <w:pPr>
        <w:ind w:left="2500" w:hanging="360"/>
      </w:pPr>
    </w:lvl>
    <w:lvl w:ilvl="2" w:tplc="040E001B" w:tentative="1">
      <w:start w:val="1"/>
      <w:numFmt w:val="lowerRoman"/>
      <w:lvlText w:val="%3."/>
      <w:lvlJc w:val="right"/>
      <w:pPr>
        <w:ind w:left="3220" w:hanging="180"/>
      </w:pPr>
    </w:lvl>
    <w:lvl w:ilvl="3" w:tplc="040E000F" w:tentative="1">
      <w:start w:val="1"/>
      <w:numFmt w:val="decimal"/>
      <w:lvlText w:val="%4."/>
      <w:lvlJc w:val="left"/>
      <w:pPr>
        <w:ind w:left="3940" w:hanging="360"/>
      </w:pPr>
    </w:lvl>
    <w:lvl w:ilvl="4" w:tplc="040E0019" w:tentative="1">
      <w:start w:val="1"/>
      <w:numFmt w:val="lowerLetter"/>
      <w:lvlText w:val="%5."/>
      <w:lvlJc w:val="left"/>
      <w:pPr>
        <w:ind w:left="4660" w:hanging="360"/>
      </w:pPr>
    </w:lvl>
    <w:lvl w:ilvl="5" w:tplc="040E001B" w:tentative="1">
      <w:start w:val="1"/>
      <w:numFmt w:val="lowerRoman"/>
      <w:lvlText w:val="%6."/>
      <w:lvlJc w:val="right"/>
      <w:pPr>
        <w:ind w:left="5380" w:hanging="180"/>
      </w:pPr>
    </w:lvl>
    <w:lvl w:ilvl="6" w:tplc="040E000F" w:tentative="1">
      <w:start w:val="1"/>
      <w:numFmt w:val="decimal"/>
      <w:lvlText w:val="%7."/>
      <w:lvlJc w:val="left"/>
      <w:pPr>
        <w:ind w:left="6100" w:hanging="360"/>
      </w:pPr>
    </w:lvl>
    <w:lvl w:ilvl="7" w:tplc="040E0019" w:tentative="1">
      <w:start w:val="1"/>
      <w:numFmt w:val="lowerLetter"/>
      <w:lvlText w:val="%8."/>
      <w:lvlJc w:val="left"/>
      <w:pPr>
        <w:ind w:left="6820" w:hanging="360"/>
      </w:pPr>
    </w:lvl>
    <w:lvl w:ilvl="8" w:tplc="040E001B" w:tentative="1">
      <w:start w:val="1"/>
      <w:numFmt w:val="lowerRoman"/>
      <w:lvlText w:val="%9."/>
      <w:lvlJc w:val="right"/>
      <w:pPr>
        <w:ind w:left="7540" w:hanging="180"/>
      </w:pPr>
    </w:lvl>
  </w:abstractNum>
  <w:abstractNum w:abstractNumId="5" w15:restartNumberingAfterBreak="0">
    <w:nsid w:val="1E0433BE"/>
    <w:multiLevelType w:val="multilevel"/>
    <w:tmpl w:val="97C26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B77D7F"/>
    <w:multiLevelType w:val="hybridMultilevel"/>
    <w:tmpl w:val="816C7E4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81F70CA"/>
    <w:multiLevelType w:val="hybridMultilevel"/>
    <w:tmpl w:val="ABF8C964"/>
    <w:lvl w:ilvl="0" w:tplc="75781C8E">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E0C3E82"/>
    <w:multiLevelType w:val="hybridMultilevel"/>
    <w:tmpl w:val="920AEF06"/>
    <w:lvl w:ilvl="0" w:tplc="75781C8E">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9" w15:restartNumberingAfterBreak="0">
    <w:nsid w:val="30240618"/>
    <w:multiLevelType w:val="hybridMultilevel"/>
    <w:tmpl w:val="CDA25502"/>
    <w:lvl w:ilvl="0" w:tplc="9C7CC608">
      <w:start w:val="1"/>
      <w:numFmt w:val="bullet"/>
      <w:lvlText w:val=""/>
      <w:lvlJc w:val="left"/>
      <w:pPr>
        <w:tabs>
          <w:tab w:val="num" w:pos="720"/>
        </w:tabs>
        <w:ind w:left="720" w:hanging="360"/>
      </w:pPr>
      <w:rPr>
        <w:rFonts w:ascii="Wingdings" w:hAnsi="Wingdings" w:hint="default"/>
      </w:rPr>
    </w:lvl>
    <w:lvl w:ilvl="1" w:tplc="9D9AB4DC" w:tentative="1">
      <w:start w:val="1"/>
      <w:numFmt w:val="bullet"/>
      <w:lvlText w:val=""/>
      <w:lvlJc w:val="left"/>
      <w:pPr>
        <w:tabs>
          <w:tab w:val="num" w:pos="1440"/>
        </w:tabs>
        <w:ind w:left="1440" w:hanging="360"/>
      </w:pPr>
      <w:rPr>
        <w:rFonts w:ascii="Wingdings" w:hAnsi="Wingdings" w:hint="default"/>
      </w:rPr>
    </w:lvl>
    <w:lvl w:ilvl="2" w:tplc="E402D7DE" w:tentative="1">
      <w:start w:val="1"/>
      <w:numFmt w:val="bullet"/>
      <w:lvlText w:val=""/>
      <w:lvlJc w:val="left"/>
      <w:pPr>
        <w:tabs>
          <w:tab w:val="num" w:pos="2160"/>
        </w:tabs>
        <w:ind w:left="2160" w:hanging="360"/>
      </w:pPr>
      <w:rPr>
        <w:rFonts w:ascii="Wingdings" w:hAnsi="Wingdings" w:hint="default"/>
      </w:rPr>
    </w:lvl>
    <w:lvl w:ilvl="3" w:tplc="11A8C4CA" w:tentative="1">
      <w:start w:val="1"/>
      <w:numFmt w:val="bullet"/>
      <w:lvlText w:val=""/>
      <w:lvlJc w:val="left"/>
      <w:pPr>
        <w:tabs>
          <w:tab w:val="num" w:pos="2880"/>
        </w:tabs>
        <w:ind w:left="2880" w:hanging="360"/>
      </w:pPr>
      <w:rPr>
        <w:rFonts w:ascii="Wingdings" w:hAnsi="Wingdings" w:hint="default"/>
      </w:rPr>
    </w:lvl>
    <w:lvl w:ilvl="4" w:tplc="07280724" w:tentative="1">
      <w:start w:val="1"/>
      <w:numFmt w:val="bullet"/>
      <w:lvlText w:val=""/>
      <w:lvlJc w:val="left"/>
      <w:pPr>
        <w:tabs>
          <w:tab w:val="num" w:pos="3600"/>
        </w:tabs>
        <w:ind w:left="3600" w:hanging="360"/>
      </w:pPr>
      <w:rPr>
        <w:rFonts w:ascii="Wingdings" w:hAnsi="Wingdings" w:hint="default"/>
      </w:rPr>
    </w:lvl>
    <w:lvl w:ilvl="5" w:tplc="73A4E3EC" w:tentative="1">
      <w:start w:val="1"/>
      <w:numFmt w:val="bullet"/>
      <w:lvlText w:val=""/>
      <w:lvlJc w:val="left"/>
      <w:pPr>
        <w:tabs>
          <w:tab w:val="num" w:pos="4320"/>
        </w:tabs>
        <w:ind w:left="4320" w:hanging="360"/>
      </w:pPr>
      <w:rPr>
        <w:rFonts w:ascii="Wingdings" w:hAnsi="Wingdings" w:hint="default"/>
      </w:rPr>
    </w:lvl>
    <w:lvl w:ilvl="6" w:tplc="7410FAA4" w:tentative="1">
      <w:start w:val="1"/>
      <w:numFmt w:val="bullet"/>
      <w:lvlText w:val=""/>
      <w:lvlJc w:val="left"/>
      <w:pPr>
        <w:tabs>
          <w:tab w:val="num" w:pos="5040"/>
        </w:tabs>
        <w:ind w:left="5040" w:hanging="360"/>
      </w:pPr>
      <w:rPr>
        <w:rFonts w:ascii="Wingdings" w:hAnsi="Wingdings" w:hint="default"/>
      </w:rPr>
    </w:lvl>
    <w:lvl w:ilvl="7" w:tplc="0DB647B2" w:tentative="1">
      <w:start w:val="1"/>
      <w:numFmt w:val="bullet"/>
      <w:lvlText w:val=""/>
      <w:lvlJc w:val="left"/>
      <w:pPr>
        <w:tabs>
          <w:tab w:val="num" w:pos="5760"/>
        </w:tabs>
        <w:ind w:left="5760" w:hanging="360"/>
      </w:pPr>
      <w:rPr>
        <w:rFonts w:ascii="Wingdings" w:hAnsi="Wingdings" w:hint="default"/>
      </w:rPr>
    </w:lvl>
    <w:lvl w:ilvl="8" w:tplc="E31667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D6071"/>
    <w:multiLevelType w:val="hybridMultilevel"/>
    <w:tmpl w:val="C4C8E6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7A61629"/>
    <w:multiLevelType w:val="hybridMultilevel"/>
    <w:tmpl w:val="6B8E860E"/>
    <w:lvl w:ilvl="0" w:tplc="17F8C502">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FAF4D3A"/>
    <w:multiLevelType w:val="hybridMultilevel"/>
    <w:tmpl w:val="08C4895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40C63B95"/>
    <w:multiLevelType w:val="hybridMultilevel"/>
    <w:tmpl w:val="AFEA3B1E"/>
    <w:lvl w:ilvl="0" w:tplc="4CF47FB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A93228"/>
    <w:multiLevelType w:val="hybridMultilevel"/>
    <w:tmpl w:val="C34603B2"/>
    <w:lvl w:ilvl="0" w:tplc="7D4C2E9E">
      <w:start w:val="1"/>
      <w:numFmt w:val="lowerRoman"/>
      <w:lvlText w:val="(%1)"/>
      <w:lvlJc w:val="left"/>
      <w:pPr>
        <w:tabs>
          <w:tab w:val="num" w:pos="900"/>
        </w:tabs>
        <w:ind w:left="900" w:hanging="72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5" w15:restartNumberingAfterBreak="0">
    <w:nsid w:val="41F05961"/>
    <w:multiLevelType w:val="hybridMultilevel"/>
    <w:tmpl w:val="5B54F994"/>
    <w:lvl w:ilvl="0" w:tplc="4CF47FB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1C67C6"/>
    <w:multiLevelType w:val="hybridMultilevel"/>
    <w:tmpl w:val="08C4895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51381EBE"/>
    <w:multiLevelType w:val="hybridMultilevel"/>
    <w:tmpl w:val="ABF8C964"/>
    <w:lvl w:ilvl="0" w:tplc="75781C8E">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538153F0"/>
    <w:multiLevelType w:val="hybridMultilevel"/>
    <w:tmpl w:val="ABF8C964"/>
    <w:lvl w:ilvl="0" w:tplc="75781C8E">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59653990"/>
    <w:multiLevelType w:val="hybridMultilevel"/>
    <w:tmpl w:val="7700BA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D0E1FFB"/>
    <w:multiLevelType w:val="hybridMultilevel"/>
    <w:tmpl w:val="ABF8C964"/>
    <w:lvl w:ilvl="0" w:tplc="75781C8E">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640F6004"/>
    <w:multiLevelType w:val="hybridMultilevel"/>
    <w:tmpl w:val="9C0055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7626398"/>
    <w:multiLevelType w:val="multilevel"/>
    <w:tmpl w:val="1752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F077B"/>
    <w:multiLevelType w:val="hybridMultilevel"/>
    <w:tmpl w:val="74545FCC"/>
    <w:lvl w:ilvl="0" w:tplc="4CF47FB8">
      <w:start w:val="1"/>
      <w:numFmt w:val="low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4" w15:restartNumberingAfterBreak="0">
    <w:nsid w:val="6BC820BC"/>
    <w:multiLevelType w:val="hybridMultilevel"/>
    <w:tmpl w:val="ABF8C964"/>
    <w:lvl w:ilvl="0" w:tplc="75781C8E">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6DAD667E"/>
    <w:multiLevelType w:val="hybridMultilevel"/>
    <w:tmpl w:val="D6D2B644"/>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705C53A3"/>
    <w:multiLevelType w:val="multilevel"/>
    <w:tmpl w:val="C6D09B32"/>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D86A11"/>
    <w:multiLevelType w:val="hybridMultilevel"/>
    <w:tmpl w:val="7700BA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3234A03"/>
    <w:multiLevelType w:val="hybridMultilevel"/>
    <w:tmpl w:val="9F3AF13E"/>
    <w:lvl w:ilvl="0" w:tplc="040E0011">
      <w:start w:val="1"/>
      <w:numFmt w:val="decimal"/>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29" w15:restartNumberingAfterBreak="0">
    <w:nsid w:val="799F1660"/>
    <w:multiLevelType w:val="multilevel"/>
    <w:tmpl w:val="D84EE92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DD6B44"/>
    <w:multiLevelType w:val="hybridMultilevel"/>
    <w:tmpl w:val="08C48958"/>
    <w:lvl w:ilvl="0" w:tplc="8C3083AA">
      <w:start w:val="1"/>
      <w:numFmt w:val="decimal"/>
      <w:lvlText w:val="%1)"/>
      <w:lvlJc w:val="left"/>
      <w:pPr>
        <w:tabs>
          <w:tab w:val="num" w:pos="540"/>
        </w:tabs>
        <w:ind w:left="540" w:hanging="360"/>
      </w:pPr>
      <w:rPr>
        <w:rFonts w:ascii="Times New Roman" w:eastAsia="Times New Roman" w:hAnsi="Times New Roman" w:cs="Times New Roman"/>
      </w:rPr>
    </w:lvl>
    <w:lvl w:ilvl="1" w:tplc="040E0019">
      <w:start w:val="1"/>
      <w:numFmt w:val="lowerLetter"/>
      <w:lvlText w:val="%2."/>
      <w:lvlJc w:val="left"/>
      <w:pPr>
        <w:tabs>
          <w:tab w:val="num" w:pos="1620"/>
        </w:tabs>
        <w:ind w:left="1620" w:hanging="360"/>
      </w:pPr>
    </w:lvl>
    <w:lvl w:ilvl="2" w:tplc="7C86BFF2">
      <w:start w:val="5"/>
      <w:numFmt w:val="lowerRoman"/>
      <w:lvlText w:val="(%3)"/>
      <w:lvlJc w:val="left"/>
      <w:pPr>
        <w:tabs>
          <w:tab w:val="num" w:pos="2700"/>
        </w:tabs>
        <w:ind w:left="2700" w:hanging="720"/>
      </w:pPr>
      <w:rPr>
        <w:rFonts w:hint="default"/>
        <w:b/>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7CF219C5"/>
    <w:multiLevelType w:val="multilevel"/>
    <w:tmpl w:val="D84EE928"/>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25"/>
  </w:num>
  <w:num w:numId="4">
    <w:abstractNumId w:val="9"/>
  </w:num>
  <w:num w:numId="5">
    <w:abstractNumId w:val="6"/>
  </w:num>
  <w:num w:numId="6">
    <w:abstractNumId w:val="24"/>
  </w:num>
  <w:num w:numId="7">
    <w:abstractNumId w:val="18"/>
  </w:num>
  <w:num w:numId="8">
    <w:abstractNumId w:val="7"/>
  </w:num>
  <w:num w:numId="9">
    <w:abstractNumId w:val="17"/>
  </w:num>
  <w:num w:numId="10">
    <w:abstractNumId w:val="20"/>
  </w:num>
  <w:num w:numId="11">
    <w:abstractNumId w:val="8"/>
  </w:num>
  <w:num w:numId="12">
    <w:abstractNumId w:val="11"/>
  </w:num>
  <w:num w:numId="13">
    <w:abstractNumId w:val="22"/>
  </w:num>
  <w:num w:numId="14">
    <w:abstractNumId w:val="26"/>
  </w:num>
  <w:num w:numId="15">
    <w:abstractNumId w:val="31"/>
  </w:num>
  <w:num w:numId="16">
    <w:abstractNumId w:val="5"/>
  </w:num>
  <w:num w:numId="17">
    <w:abstractNumId w:val="1"/>
  </w:num>
  <w:num w:numId="18">
    <w:abstractNumId w:val="2"/>
  </w:num>
  <w:num w:numId="19">
    <w:abstractNumId w:val="30"/>
  </w:num>
  <w:num w:numId="20">
    <w:abstractNumId w:val="29"/>
  </w:num>
  <w:num w:numId="21">
    <w:abstractNumId w:val="3"/>
  </w:num>
  <w:num w:numId="22">
    <w:abstractNumId w:val="21"/>
  </w:num>
  <w:num w:numId="23">
    <w:abstractNumId w:val="27"/>
  </w:num>
  <w:num w:numId="24">
    <w:abstractNumId w:val="19"/>
  </w:num>
  <w:num w:numId="25">
    <w:abstractNumId w:val="0"/>
  </w:num>
  <w:num w:numId="26">
    <w:abstractNumId w:val="12"/>
  </w:num>
  <w:num w:numId="27">
    <w:abstractNumId w:val="10"/>
  </w:num>
  <w:num w:numId="28">
    <w:abstractNumId w:val="15"/>
  </w:num>
  <w:num w:numId="29">
    <w:abstractNumId w:val="23"/>
  </w:num>
  <w:num w:numId="30">
    <w:abstractNumId w:val="28"/>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19"/>
    <w:rsid w:val="00003F67"/>
    <w:rsid w:val="00012E37"/>
    <w:rsid w:val="00013546"/>
    <w:rsid w:val="00016DE6"/>
    <w:rsid w:val="00017DDF"/>
    <w:rsid w:val="00024C9E"/>
    <w:rsid w:val="00025906"/>
    <w:rsid w:val="00030728"/>
    <w:rsid w:val="000315EE"/>
    <w:rsid w:val="00031866"/>
    <w:rsid w:val="00032313"/>
    <w:rsid w:val="00043060"/>
    <w:rsid w:val="00043638"/>
    <w:rsid w:val="00045FBF"/>
    <w:rsid w:val="000670BE"/>
    <w:rsid w:val="00072432"/>
    <w:rsid w:val="00077E97"/>
    <w:rsid w:val="0008059C"/>
    <w:rsid w:val="00092B21"/>
    <w:rsid w:val="00094833"/>
    <w:rsid w:val="000A020B"/>
    <w:rsid w:val="000A2CD5"/>
    <w:rsid w:val="000A789F"/>
    <w:rsid w:val="000B1E02"/>
    <w:rsid w:val="000C3211"/>
    <w:rsid w:val="000D4E87"/>
    <w:rsid w:val="000E4739"/>
    <w:rsid w:val="000F51AF"/>
    <w:rsid w:val="00102DC4"/>
    <w:rsid w:val="00103EBC"/>
    <w:rsid w:val="00104104"/>
    <w:rsid w:val="00111F7B"/>
    <w:rsid w:val="0011746A"/>
    <w:rsid w:val="00123198"/>
    <w:rsid w:val="00126819"/>
    <w:rsid w:val="00130F40"/>
    <w:rsid w:val="00133F80"/>
    <w:rsid w:val="00140609"/>
    <w:rsid w:val="00147755"/>
    <w:rsid w:val="0015434C"/>
    <w:rsid w:val="00154A18"/>
    <w:rsid w:val="00167059"/>
    <w:rsid w:val="0017341B"/>
    <w:rsid w:val="001744BF"/>
    <w:rsid w:val="00182AD0"/>
    <w:rsid w:val="001848CE"/>
    <w:rsid w:val="001915FF"/>
    <w:rsid w:val="00193D01"/>
    <w:rsid w:val="001952E4"/>
    <w:rsid w:val="00196150"/>
    <w:rsid w:val="001A37DC"/>
    <w:rsid w:val="001B16B3"/>
    <w:rsid w:val="001B6A88"/>
    <w:rsid w:val="001D09ED"/>
    <w:rsid w:val="001D2896"/>
    <w:rsid w:val="001E3F4B"/>
    <w:rsid w:val="00202379"/>
    <w:rsid w:val="00210E68"/>
    <w:rsid w:val="0021316A"/>
    <w:rsid w:val="00222925"/>
    <w:rsid w:val="002247B1"/>
    <w:rsid w:val="00225C67"/>
    <w:rsid w:val="00231618"/>
    <w:rsid w:val="002431CB"/>
    <w:rsid w:val="00244E3C"/>
    <w:rsid w:val="00253B87"/>
    <w:rsid w:val="00263828"/>
    <w:rsid w:val="00267E5C"/>
    <w:rsid w:val="00274A0A"/>
    <w:rsid w:val="00282792"/>
    <w:rsid w:val="00283305"/>
    <w:rsid w:val="0028330B"/>
    <w:rsid w:val="00287EAB"/>
    <w:rsid w:val="002B6D4B"/>
    <w:rsid w:val="002C2206"/>
    <w:rsid w:val="002D3D85"/>
    <w:rsid w:val="002E2D65"/>
    <w:rsid w:val="002E4C49"/>
    <w:rsid w:val="002E62AA"/>
    <w:rsid w:val="00306861"/>
    <w:rsid w:val="00310FA1"/>
    <w:rsid w:val="00317C8B"/>
    <w:rsid w:val="00344434"/>
    <w:rsid w:val="00357934"/>
    <w:rsid w:val="00364B60"/>
    <w:rsid w:val="00364FD2"/>
    <w:rsid w:val="00367A3B"/>
    <w:rsid w:val="00374FEF"/>
    <w:rsid w:val="00391270"/>
    <w:rsid w:val="00393D6B"/>
    <w:rsid w:val="00395B12"/>
    <w:rsid w:val="003A05A3"/>
    <w:rsid w:val="003A644F"/>
    <w:rsid w:val="003B15FD"/>
    <w:rsid w:val="003B237E"/>
    <w:rsid w:val="003B55E9"/>
    <w:rsid w:val="003B62B2"/>
    <w:rsid w:val="003B70D5"/>
    <w:rsid w:val="003C232C"/>
    <w:rsid w:val="003D13E3"/>
    <w:rsid w:val="003D389C"/>
    <w:rsid w:val="003E2CAB"/>
    <w:rsid w:val="003E30F5"/>
    <w:rsid w:val="003E3655"/>
    <w:rsid w:val="003E3EE2"/>
    <w:rsid w:val="003E69FB"/>
    <w:rsid w:val="004037AE"/>
    <w:rsid w:val="00412B4A"/>
    <w:rsid w:val="00420600"/>
    <w:rsid w:val="0042153B"/>
    <w:rsid w:val="00422CC1"/>
    <w:rsid w:val="00423F4A"/>
    <w:rsid w:val="004240FA"/>
    <w:rsid w:val="00452B4E"/>
    <w:rsid w:val="00453E21"/>
    <w:rsid w:val="00457092"/>
    <w:rsid w:val="00463392"/>
    <w:rsid w:val="0046464F"/>
    <w:rsid w:val="004667A5"/>
    <w:rsid w:val="00466D59"/>
    <w:rsid w:val="00476A4F"/>
    <w:rsid w:val="00476C41"/>
    <w:rsid w:val="00480132"/>
    <w:rsid w:val="004A03F3"/>
    <w:rsid w:val="004B2D67"/>
    <w:rsid w:val="004B2DBD"/>
    <w:rsid w:val="004B5C5A"/>
    <w:rsid w:val="004B6E83"/>
    <w:rsid w:val="004C1507"/>
    <w:rsid w:val="004C3363"/>
    <w:rsid w:val="004C50A8"/>
    <w:rsid w:val="004E07CE"/>
    <w:rsid w:val="004E26C7"/>
    <w:rsid w:val="004F489F"/>
    <w:rsid w:val="004F60E5"/>
    <w:rsid w:val="004F76F2"/>
    <w:rsid w:val="00500A76"/>
    <w:rsid w:val="00501141"/>
    <w:rsid w:val="005058BF"/>
    <w:rsid w:val="00510792"/>
    <w:rsid w:val="005108C8"/>
    <w:rsid w:val="00514401"/>
    <w:rsid w:val="005234EA"/>
    <w:rsid w:val="00524EEC"/>
    <w:rsid w:val="00534978"/>
    <w:rsid w:val="00540A2B"/>
    <w:rsid w:val="00542AED"/>
    <w:rsid w:val="0055263A"/>
    <w:rsid w:val="00562C4A"/>
    <w:rsid w:val="005652BF"/>
    <w:rsid w:val="00571A06"/>
    <w:rsid w:val="00572AD3"/>
    <w:rsid w:val="005816C4"/>
    <w:rsid w:val="00585617"/>
    <w:rsid w:val="00592F2B"/>
    <w:rsid w:val="005A521B"/>
    <w:rsid w:val="005A798B"/>
    <w:rsid w:val="005B2268"/>
    <w:rsid w:val="005B4E11"/>
    <w:rsid w:val="005C7D41"/>
    <w:rsid w:val="005D5050"/>
    <w:rsid w:val="005E0E73"/>
    <w:rsid w:val="005E0FEF"/>
    <w:rsid w:val="005F0E7A"/>
    <w:rsid w:val="005F3039"/>
    <w:rsid w:val="005F7121"/>
    <w:rsid w:val="006014A5"/>
    <w:rsid w:val="00604B87"/>
    <w:rsid w:val="00610D8B"/>
    <w:rsid w:val="00630879"/>
    <w:rsid w:val="0063482B"/>
    <w:rsid w:val="00643E32"/>
    <w:rsid w:val="00652127"/>
    <w:rsid w:val="00653A4E"/>
    <w:rsid w:val="00653E8E"/>
    <w:rsid w:val="006540B9"/>
    <w:rsid w:val="00663788"/>
    <w:rsid w:val="00663B01"/>
    <w:rsid w:val="0066673F"/>
    <w:rsid w:val="006669F4"/>
    <w:rsid w:val="00667C46"/>
    <w:rsid w:val="006774EF"/>
    <w:rsid w:val="0068112C"/>
    <w:rsid w:val="00684C4F"/>
    <w:rsid w:val="006878A7"/>
    <w:rsid w:val="0069113D"/>
    <w:rsid w:val="00691B08"/>
    <w:rsid w:val="0069410A"/>
    <w:rsid w:val="00694DA1"/>
    <w:rsid w:val="006A04DA"/>
    <w:rsid w:val="006A6ACF"/>
    <w:rsid w:val="006B0BEE"/>
    <w:rsid w:val="006B6F0C"/>
    <w:rsid w:val="006C4EB7"/>
    <w:rsid w:val="006E0A12"/>
    <w:rsid w:val="006E1802"/>
    <w:rsid w:val="006E20F8"/>
    <w:rsid w:val="006E2167"/>
    <w:rsid w:val="006E508D"/>
    <w:rsid w:val="006F04D3"/>
    <w:rsid w:val="006F74F7"/>
    <w:rsid w:val="00711B1E"/>
    <w:rsid w:val="007338A4"/>
    <w:rsid w:val="00736E79"/>
    <w:rsid w:val="0073774D"/>
    <w:rsid w:val="00742C51"/>
    <w:rsid w:val="007535A0"/>
    <w:rsid w:val="0076215A"/>
    <w:rsid w:val="00762FA0"/>
    <w:rsid w:val="0076552D"/>
    <w:rsid w:val="00782814"/>
    <w:rsid w:val="00791499"/>
    <w:rsid w:val="007942D6"/>
    <w:rsid w:val="00796A4F"/>
    <w:rsid w:val="007A1AE1"/>
    <w:rsid w:val="007A2A2D"/>
    <w:rsid w:val="007A38C4"/>
    <w:rsid w:val="007C2C06"/>
    <w:rsid w:val="007C50EC"/>
    <w:rsid w:val="007C5C2A"/>
    <w:rsid w:val="007C61DA"/>
    <w:rsid w:val="007D098A"/>
    <w:rsid w:val="007D7183"/>
    <w:rsid w:val="007D7659"/>
    <w:rsid w:val="007E1751"/>
    <w:rsid w:val="007E31A8"/>
    <w:rsid w:val="007E5633"/>
    <w:rsid w:val="007E5675"/>
    <w:rsid w:val="007E62D1"/>
    <w:rsid w:val="007E67C1"/>
    <w:rsid w:val="007F3939"/>
    <w:rsid w:val="00801DB9"/>
    <w:rsid w:val="00814646"/>
    <w:rsid w:val="00821887"/>
    <w:rsid w:val="00822FC5"/>
    <w:rsid w:val="008352D3"/>
    <w:rsid w:val="0083651D"/>
    <w:rsid w:val="00841EF8"/>
    <w:rsid w:val="00847A18"/>
    <w:rsid w:val="00860B8E"/>
    <w:rsid w:val="008620B6"/>
    <w:rsid w:val="0086296B"/>
    <w:rsid w:val="00862E64"/>
    <w:rsid w:val="00874B09"/>
    <w:rsid w:val="00877215"/>
    <w:rsid w:val="008808CB"/>
    <w:rsid w:val="008813A0"/>
    <w:rsid w:val="008848C1"/>
    <w:rsid w:val="00884F7A"/>
    <w:rsid w:val="0088721A"/>
    <w:rsid w:val="008A2573"/>
    <w:rsid w:val="008A767D"/>
    <w:rsid w:val="008B099B"/>
    <w:rsid w:val="008B0BFF"/>
    <w:rsid w:val="008B12DB"/>
    <w:rsid w:val="008B37A4"/>
    <w:rsid w:val="008B37F8"/>
    <w:rsid w:val="008B6FA5"/>
    <w:rsid w:val="008C1219"/>
    <w:rsid w:val="008C77B3"/>
    <w:rsid w:val="008D3AE2"/>
    <w:rsid w:val="008D6734"/>
    <w:rsid w:val="008E3803"/>
    <w:rsid w:val="008E47AE"/>
    <w:rsid w:val="008E782B"/>
    <w:rsid w:val="008F224A"/>
    <w:rsid w:val="008F4019"/>
    <w:rsid w:val="00901CAD"/>
    <w:rsid w:val="00902F86"/>
    <w:rsid w:val="0090477C"/>
    <w:rsid w:val="00914742"/>
    <w:rsid w:val="00917C53"/>
    <w:rsid w:val="00920A7B"/>
    <w:rsid w:val="00932C71"/>
    <w:rsid w:val="00936CCB"/>
    <w:rsid w:val="00952860"/>
    <w:rsid w:val="00953FBF"/>
    <w:rsid w:val="00955203"/>
    <w:rsid w:val="0095575E"/>
    <w:rsid w:val="00964693"/>
    <w:rsid w:val="00964DFD"/>
    <w:rsid w:val="00982524"/>
    <w:rsid w:val="0098277D"/>
    <w:rsid w:val="00997AAD"/>
    <w:rsid w:val="009A0761"/>
    <w:rsid w:val="009A1767"/>
    <w:rsid w:val="009B1ED8"/>
    <w:rsid w:val="009C14CD"/>
    <w:rsid w:val="009C1781"/>
    <w:rsid w:val="009D391F"/>
    <w:rsid w:val="009D3D39"/>
    <w:rsid w:val="009E093B"/>
    <w:rsid w:val="009E48CC"/>
    <w:rsid w:val="009F0891"/>
    <w:rsid w:val="009F2417"/>
    <w:rsid w:val="00A07364"/>
    <w:rsid w:val="00A12DD7"/>
    <w:rsid w:val="00A22C0B"/>
    <w:rsid w:val="00A249AE"/>
    <w:rsid w:val="00A24E6E"/>
    <w:rsid w:val="00A30B2C"/>
    <w:rsid w:val="00A30C9F"/>
    <w:rsid w:val="00A362E0"/>
    <w:rsid w:val="00A366C3"/>
    <w:rsid w:val="00A37209"/>
    <w:rsid w:val="00A42012"/>
    <w:rsid w:val="00A422CF"/>
    <w:rsid w:val="00A42E8A"/>
    <w:rsid w:val="00A50C39"/>
    <w:rsid w:val="00A512DE"/>
    <w:rsid w:val="00A56C11"/>
    <w:rsid w:val="00A82247"/>
    <w:rsid w:val="00A844E8"/>
    <w:rsid w:val="00A924F6"/>
    <w:rsid w:val="00A93DB7"/>
    <w:rsid w:val="00AA146D"/>
    <w:rsid w:val="00AA1FF3"/>
    <w:rsid w:val="00AA2EB6"/>
    <w:rsid w:val="00AB05DA"/>
    <w:rsid w:val="00AB4128"/>
    <w:rsid w:val="00AB72DE"/>
    <w:rsid w:val="00AC3A91"/>
    <w:rsid w:val="00AC5E3D"/>
    <w:rsid w:val="00AC79F7"/>
    <w:rsid w:val="00AD36BE"/>
    <w:rsid w:val="00AD3F8F"/>
    <w:rsid w:val="00AD72FF"/>
    <w:rsid w:val="00AE673D"/>
    <w:rsid w:val="00AF301A"/>
    <w:rsid w:val="00AF36EF"/>
    <w:rsid w:val="00AF39E4"/>
    <w:rsid w:val="00AF4DA4"/>
    <w:rsid w:val="00B00314"/>
    <w:rsid w:val="00B03862"/>
    <w:rsid w:val="00B03CB5"/>
    <w:rsid w:val="00B0634B"/>
    <w:rsid w:val="00B12F18"/>
    <w:rsid w:val="00B15D89"/>
    <w:rsid w:val="00B1715D"/>
    <w:rsid w:val="00B20C27"/>
    <w:rsid w:val="00B21814"/>
    <w:rsid w:val="00B2484E"/>
    <w:rsid w:val="00B439DA"/>
    <w:rsid w:val="00B5019D"/>
    <w:rsid w:val="00B53516"/>
    <w:rsid w:val="00B55128"/>
    <w:rsid w:val="00B5743A"/>
    <w:rsid w:val="00B6086A"/>
    <w:rsid w:val="00B66E00"/>
    <w:rsid w:val="00B673F8"/>
    <w:rsid w:val="00B7190C"/>
    <w:rsid w:val="00B73EC2"/>
    <w:rsid w:val="00B75254"/>
    <w:rsid w:val="00B752B0"/>
    <w:rsid w:val="00B7644B"/>
    <w:rsid w:val="00B839BD"/>
    <w:rsid w:val="00B83D61"/>
    <w:rsid w:val="00B84D70"/>
    <w:rsid w:val="00B9461B"/>
    <w:rsid w:val="00BA168A"/>
    <w:rsid w:val="00BA410B"/>
    <w:rsid w:val="00BA45EC"/>
    <w:rsid w:val="00BB0EF8"/>
    <w:rsid w:val="00BC037E"/>
    <w:rsid w:val="00BC16B2"/>
    <w:rsid w:val="00BC1757"/>
    <w:rsid w:val="00BC63B3"/>
    <w:rsid w:val="00BC6963"/>
    <w:rsid w:val="00BD0924"/>
    <w:rsid w:val="00BE630B"/>
    <w:rsid w:val="00BE7A18"/>
    <w:rsid w:val="00BF2336"/>
    <w:rsid w:val="00BF3743"/>
    <w:rsid w:val="00C11838"/>
    <w:rsid w:val="00C13FFB"/>
    <w:rsid w:val="00C1750E"/>
    <w:rsid w:val="00C207DE"/>
    <w:rsid w:val="00C37C94"/>
    <w:rsid w:val="00C40E4A"/>
    <w:rsid w:val="00C630AF"/>
    <w:rsid w:val="00C67007"/>
    <w:rsid w:val="00C81ABE"/>
    <w:rsid w:val="00C86E65"/>
    <w:rsid w:val="00C87385"/>
    <w:rsid w:val="00C90465"/>
    <w:rsid w:val="00C906F7"/>
    <w:rsid w:val="00C912CD"/>
    <w:rsid w:val="00C914AC"/>
    <w:rsid w:val="00CA188A"/>
    <w:rsid w:val="00CA728A"/>
    <w:rsid w:val="00CB1D24"/>
    <w:rsid w:val="00CB60F8"/>
    <w:rsid w:val="00CB6AE0"/>
    <w:rsid w:val="00CC0C78"/>
    <w:rsid w:val="00CC2F3E"/>
    <w:rsid w:val="00CD34EF"/>
    <w:rsid w:val="00CD489E"/>
    <w:rsid w:val="00CD7BEF"/>
    <w:rsid w:val="00CE2017"/>
    <w:rsid w:val="00CE492D"/>
    <w:rsid w:val="00CF43B4"/>
    <w:rsid w:val="00D02DC1"/>
    <w:rsid w:val="00D17E1E"/>
    <w:rsid w:val="00D2178E"/>
    <w:rsid w:val="00D21C1C"/>
    <w:rsid w:val="00D22A14"/>
    <w:rsid w:val="00D242DD"/>
    <w:rsid w:val="00D359D6"/>
    <w:rsid w:val="00D50BB1"/>
    <w:rsid w:val="00D73994"/>
    <w:rsid w:val="00D81129"/>
    <w:rsid w:val="00D8126D"/>
    <w:rsid w:val="00DC3B14"/>
    <w:rsid w:val="00DC3EC4"/>
    <w:rsid w:val="00DD533E"/>
    <w:rsid w:val="00DE00DD"/>
    <w:rsid w:val="00DE3C6E"/>
    <w:rsid w:val="00DF4FBA"/>
    <w:rsid w:val="00DF7AA6"/>
    <w:rsid w:val="00E00584"/>
    <w:rsid w:val="00E04286"/>
    <w:rsid w:val="00E04FC7"/>
    <w:rsid w:val="00E11465"/>
    <w:rsid w:val="00E11D9A"/>
    <w:rsid w:val="00E14345"/>
    <w:rsid w:val="00E1453D"/>
    <w:rsid w:val="00E14D80"/>
    <w:rsid w:val="00E24096"/>
    <w:rsid w:val="00E2549A"/>
    <w:rsid w:val="00E31CA0"/>
    <w:rsid w:val="00E32126"/>
    <w:rsid w:val="00E34E1D"/>
    <w:rsid w:val="00E35EC7"/>
    <w:rsid w:val="00E42403"/>
    <w:rsid w:val="00E441AF"/>
    <w:rsid w:val="00E55F51"/>
    <w:rsid w:val="00E619B1"/>
    <w:rsid w:val="00E70CEC"/>
    <w:rsid w:val="00E71194"/>
    <w:rsid w:val="00E74159"/>
    <w:rsid w:val="00E74BBD"/>
    <w:rsid w:val="00E81306"/>
    <w:rsid w:val="00E8201B"/>
    <w:rsid w:val="00E86437"/>
    <w:rsid w:val="00E86B6B"/>
    <w:rsid w:val="00E9239B"/>
    <w:rsid w:val="00E94150"/>
    <w:rsid w:val="00EB0931"/>
    <w:rsid w:val="00EB1968"/>
    <w:rsid w:val="00EB264A"/>
    <w:rsid w:val="00ED30B7"/>
    <w:rsid w:val="00ED4839"/>
    <w:rsid w:val="00ED5079"/>
    <w:rsid w:val="00EE1EFE"/>
    <w:rsid w:val="00EE4C74"/>
    <w:rsid w:val="00EF4E31"/>
    <w:rsid w:val="00F0274D"/>
    <w:rsid w:val="00F15887"/>
    <w:rsid w:val="00F315C4"/>
    <w:rsid w:val="00F31989"/>
    <w:rsid w:val="00F56A12"/>
    <w:rsid w:val="00F6065C"/>
    <w:rsid w:val="00F638FA"/>
    <w:rsid w:val="00F651B3"/>
    <w:rsid w:val="00F71A8B"/>
    <w:rsid w:val="00F7722A"/>
    <w:rsid w:val="00F827AF"/>
    <w:rsid w:val="00F97BB0"/>
    <w:rsid w:val="00FA373A"/>
    <w:rsid w:val="00FB166A"/>
    <w:rsid w:val="00FB2088"/>
    <w:rsid w:val="00FB62A3"/>
    <w:rsid w:val="00FC4D88"/>
    <w:rsid w:val="00FD1A7C"/>
    <w:rsid w:val="00FD6D69"/>
    <w:rsid w:val="00FD74DB"/>
    <w:rsid w:val="00FE59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D245D"/>
  <w15:chartTrackingRefBased/>
  <w15:docId w15:val="{16D4D373-105B-4775-A968-F51D5C19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0E68"/>
    <w:rPr>
      <w:sz w:val="24"/>
      <w:szCs w:val="24"/>
    </w:rPr>
  </w:style>
  <w:style w:type="paragraph" w:styleId="Cmsor1">
    <w:name w:val="heading 1"/>
    <w:basedOn w:val="Norml"/>
    <w:link w:val="Cmsor1Char"/>
    <w:uiPriority w:val="9"/>
    <w:qFormat/>
    <w:rsid w:val="00147755"/>
    <w:pPr>
      <w:spacing w:before="100" w:beforeAutospacing="1" w:after="100" w:afterAutospacing="1"/>
      <w:outlineLvl w:val="0"/>
    </w:pPr>
    <w:rPr>
      <w:b/>
      <w:bCs/>
      <w:kern w:val="36"/>
      <w:sz w:val="48"/>
      <w:szCs w:val="48"/>
    </w:rPr>
  </w:style>
  <w:style w:type="paragraph" w:styleId="Cmsor2">
    <w:name w:val="heading 2"/>
    <w:basedOn w:val="Norml"/>
    <w:next w:val="Norml"/>
    <w:qFormat/>
    <w:rsid w:val="000A2CD5"/>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semiHidden/>
    <w:unhideWhenUsed/>
    <w:qFormat/>
    <w:rsid w:val="00111F7B"/>
    <w:pPr>
      <w:keepNext/>
      <w:spacing w:before="240" w:after="60"/>
      <w:outlineLvl w:val="2"/>
    </w:pPr>
    <w:rPr>
      <w:rFonts w:ascii="Calibri Light" w:hAnsi="Calibri Light"/>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3">
    <w:name w:val="Body Text 3"/>
    <w:basedOn w:val="Norml"/>
    <w:rsid w:val="00013546"/>
    <w:rPr>
      <w:sz w:val="28"/>
      <w:szCs w:val="20"/>
      <w:lang w:val="en-US" w:eastAsia="en-US"/>
    </w:rPr>
  </w:style>
  <w:style w:type="character" w:styleId="Kiemels2">
    <w:name w:val="Strong"/>
    <w:qFormat/>
    <w:rsid w:val="00013546"/>
    <w:rPr>
      <w:b/>
    </w:rPr>
  </w:style>
  <w:style w:type="character" w:customStyle="1" w:styleId="searchterm">
    <w:name w:val="searchterm"/>
    <w:basedOn w:val="Bekezdsalapbettpusa"/>
    <w:rsid w:val="00013546"/>
  </w:style>
  <w:style w:type="paragraph" w:styleId="Szvegtrzsbehzssal">
    <w:name w:val="Body Text Indent"/>
    <w:basedOn w:val="Norml"/>
    <w:rsid w:val="00013546"/>
    <w:pPr>
      <w:spacing w:after="120"/>
      <w:ind w:left="283"/>
    </w:pPr>
  </w:style>
  <w:style w:type="character" w:customStyle="1" w:styleId="byline">
    <w:name w:val="byline"/>
    <w:basedOn w:val="Bekezdsalapbettpusa"/>
    <w:rsid w:val="00013546"/>
  </w:style>
  <w:style w:type="character" w:styleId="Hiperhivatkozs">
    <w:name w:val="Hyperlink"/>
    <w:rsid w:val="00E74159"/>
    <w:rPr>
      <w:color w:val="0000FF"/>
      <w:u w:val="single"/>
    </w:rPr>
  </w:style>
  <w:style w:type="character" w:customStyle="1" w:styleId="plainlinks">
    <w:name w:val="plainlinks"/>
    <w:basedOn w:val="Bekezdsalapbettpusa"/>
    <w:rsid w:val="00E74159"/>
  </w:style>
  <w:style w:type="paragraph" w:styleId="NormlWeb">
    <w:name w:val="Normal (Web)"/>
    <w:basedOn w:val="Norml"/>
    <w:uiPriority w:val="99"/>
    <w:rsid w:val="00E74159"/>
    <w:pPr>
      <w:spacing w:before="100" w:beforeAutospacing="1" w:after="100" w:afterAutospacing="1"/>
    </w:pPr>
    <w:rPr>
      <w:lang w:val="en-US" w:eastAsia="en-US"/>
    </w:rPr>
  </w:style>
  <w:style w:type="paragraph" w:customStyle="1" w:styleId="Default">
    <w:name w:val="Default"/>
    <w:rsid w:val="008F224A"/>
    <w:pPr>
      <w:autoSpaceDE w:val="0"/>
      <w:autoSpaceDN w:val="0"/>
      <w:adjustRightInd w:val="0"/>
    </w:pPr>
    <w:rPr>
      <w:rFonts w:ascii="DaxlinePro-Bold" w:hAnsi="DaxlinePro-Bold" w:cs="DaxlinePro-Bold"/>
      <w:color w:val="000000"/>
      <w:sz w:val="24"/>
      <w:szCs w:val="24"/>
    </w:rPr>
  </w:style>
  <w:style w:type="paragraph" w:customStyle="1" w:styleId="Pa1">
    <w:name w:val="Pa1"/>
    <w:basedOn w:val="Default"/>
    <w:next w:val="Default"/>
    <w:rsid w:val="008F224A"/>
    <w:pPr>
      <w:spacing w:line="241" w:lineRule="atLeast"/>
    </w:pPr>
    <w:rPr>
      <w:rFonts w:ascii="Myriad Pro Light" w:hAnsi="Myriad Pro Light" w:cs="Times New Roman"/>
      <w:color w:val="auto"/>
    </w:rPr>
  </w:style>
  <w:style w:type="character" w:customStyle="1" w:styleId="A4">
    <w:name w:val="A4"/>
    <w:rsid w:val="008F224A"/>
    <w:rPr>
      <w:rFonts w:cs="Myriad Pro Light"/>
      <w:b/>
      <w:bCs/>
      <w:color w:val="000000"/>
      <w:sz w:val="60"/>
      <w:szCs w:val="60"/>
    </w:rPr>
  </w:style>
  <w:style w:type="paragraph" w:styleId="llb">
    <w:name w:val="footer"/>
    <w:basedOn w:val="Norml"/>
    <w:link w:val="llbChar"/>
    <w:uiPriority w:val="99"/>
    <w:rsid w:val="00017DDF"/>
    <w:pPr>
      <w:tabs>
        <w:tab w:val="center" w:pos="4536"/>
        <w:tab w:val="right" w:pos="9072"/>
      </w:tabs>
    </w:pPr>
  </w:style>
  <w:style w:type="character" w:styleId="Oldalszm">
    <w:name w:val="page number"/>
    <w:basedOn w:val="Bekezdsalapbettpusa"/>
    <w:rsid w:val="00017DDF"/>
  </w:style>
  <w:style w:type="character" w:customStyle="1" w:styleId="apple-converted-space">
    <w:name w:val="apple-converted-space"/>
    <w:basedOn w:val="Bekezdsalapbettpusa"/>
    <w:rsid w:val="00524EEC"/>
  </w:style>
  <w:style w:type="character" w:styleId="Mrltotthiperhivatkozs">
    <w:name w:val="FollowedHyperlink"/>
    <w:rsid w:val="00524EEC"/>
    <w:rPr>
      <w:color w:val="800080"/>
      <w:u w:val="single"/>
    </w:rPr>
  </w:style>
  <w:style w:type="character" w:customStyle="1" w:styleId="byline-author">
    <w:name w:val="byline-author"/>
    <w:basedOn w:val="Bekezdsalapbettpusa"/>
    <w:rsid w:val="00822FC5"/>
  </w:style>
  <w:style w:type="paragraph" w:customStyle="1" w:styleId="Pa13">
    <w:name w:val="Pa13"/>
    <w:basedOn w:val="Default"/>
    <w:next w:val="Default"/>
    <w:rsid w:val="005A521B"/>
    <w:pPr>
      <w:spacing w:line="281" w:lineRule="atLeast"/>
    </w:pPr>
    <w:rPr>
      <w:rFonts w:ascii="Zurich Lt BT" w:hAnsi="Zurich Lt BT" w:cs="Times New Roman"/>
      <w:color w:val="auto"/>
    </w:rPr>
  </w:style>
  <w:style w:type="paragraph" w:customStyle="1" w:styleId="Listaszerbekezds1">
    <w:name w:val="Listaszerű bekezdés1"/>
    <w:basedOn w:val="Norml"/>
    <w:uiPriority w:val="34"/>
    <w:qFormat/>
    <w:rsid w:val="006774EF"/>
    <w:pPr>
      <w:ind w:left="720"/>
      <w:contextualSpacing/>
    </w:pPr>
  </w:style>
  <w:style w:type="character" w:customStyle="1" w:styleId="Cmsor1Char">
    <w:name w:val="Címsor 1 Char"/>
    <w:link w:val="Cmsor1"/>
    <w:uiPriority w:val="9"/>
    <w:rsid w:val="00391270"/>
    <w:rPr>
      <w:b/>
      <w:bCs/>
      <w:kern w:val="36"/>
      <w:sz w:val="48"/>
      <w:szCs w:val="48"/>
    </w:rPr>
  </w:style>
  <w:style w:type="paragraph" w:styleId="Csakszveg">
    <w:name w:val="Plain Text"/>
    <w:basedOn w:val="Norml"/>
    <w:link w:val="CsakszvegChar"/>
    <w:uiPriority w:val="99"/>
    <w:unhideWhenUsed/>
    <w:rsid w:val="00AF4DA4"/>
    <w:rPr>
      <w:rFonts w:ascii="Consolas" w:eastAsia="Calibri" w:hAnsi="Consolas" w:cs="Consolas"/>
      <w:sz w:val="21"/>
      <w:szCs w:val="21"/>
      <w:lang w:eastAsia="en-US"/>
    </w:rPr>
  </w:style>
  <w:style w:type="character" w:customStyle="1" w:styleId="CsakszvegChar">
    <w:name w:val="Csak szöveg Char"/>
    <w:link w:val="Csakszveg"/>
    <w:uiPriority w:val="99"/>
    <w:rsid w:val="00AF4DA4"/>
    <w:rPr>
      <w:rFonts w:ascii="Consolas" w:eastAsia="Calibri" w:hAnsi="Consolas" w:cs="Consolas"/>
      <w:sz w:val="21"/>
      <w:szCs w:val="21"/>
      <w:lang w:eastAsia="en-US"/>
    </w:rPr>
  </w:style>
  <w:style w:type="paragraph" w:customStyle="1" w:styleId="HChG">
    <w:name w:val="_ H _Ch_G"/>
    <w:basedOn w:val="Norml"/>
    <w:next w:val="Norml"/>
    <w:link w:val="HChGChar"/>
    <w:rsid w:val="00AF4DA4"/>
    <w:pPr>
      <w:keepNext/>
      <w:keepLines/>
      <w:tabs>
        <w:tab w:val="right" w:pos="851"/>
      </w:tabs>
      <w:suppressAutoHyphens/>
      <w:spacing w:before="360" w:after="240" w:line="300" w:lineRule="exact"/>
      <w:ind w:left="1134" w:right="1134" w:hanging="1134"/>
    </w:pPr>
    <w:rPr>
      <w:b/>
      <w:sz w:val="28"/>
      <w:szCs w:val="20"/>
      <w:lang w:val="en-GB" w:eastAsia="en-US"/>
    </w:rPr>
  </w:style>
  <w:style w:type="character" w:customStyle="1" w:styleId="HChGChar">
    <w:name w:val="_ H _Ch_G Char"/>
    <w:link w:val="HChG"/>
    <w:rsid w:val="00AF4DA4"/>
    <w:rPr>
      <w:b/>
      <w:sz w:val="28"/>
      <w:lang w:val="en-GB" w:eastAsia="en-US"/>
    </w:rPr>
  </w:style>
  <w:style w:type="paragraph" w:customStyle="1" w:styleId="EndNoteBibliography">
    <w:name w:val="EndNote Bibliography"/>
    <w:basedOn w:val="Norml"/>
    <w:link w:val="EndNoteBibliographyChar"/>
    <w:uiPriority w:val="99"/>
    <w:rsid w:val="00AF4DA4"/>
    <w:pPr>
      <w:suppressAutoHyphens/>
    </w:pPr>
    <w:rPr>
      <w:noProof/>
      <w:szCs w:val="20"/>
      <w:lang w:val="en-US" w:eastAsia="ar-SA"/>
    </w:rPr>
  </w:style>
  <w:style w:type="character" w:customStyle="1" w:styleId="EndNoteBibliographyChar">
    <w:name w:val="EndNote Bibliography Char"/>
    <w:link w:val="EndNoteBibliography"/>
    <w:uiPriority w:val="99"/>
    <w:locked/>
    <w:rsid w:val="00AF4DA4"/>
    <w:rPr>
      <w:noProof/>
      <w:sz w:val="24"/>
      <w:lang w:val="en-US" w:eastAsia="ar-SA"/>
    </w:rPr>
  </w:style>
  <w:style w:type="paragraph" w:customStyle="1" w:styleId="byline-dateline">
    <w:name w:val="byline-dateline"/>
    <w:basedOn w:val="Norml"/>
    <w:rsid w:val="006F74F7"/>
    <w:pPr>
      <w:spacing w:before="100" w:beforeAutospacing="1" w:after="100" w:afterAutospacing="1"/>
    </w:pPr>
  </w:style>
  <w:style w:type="paragraph" w:styleId="Listaszerbekezds">
    <w:name w:val="List Paragraph"/>
    <w:basedOn w:val="Norml"/>
    <w:uiPriority w:val="34"/>
    <w:qFormat/>
    <w:rsid w:val="00453E21"/>
    <w:pPr>
      <w:ind w:left="720"/>
      <w:contextualSpacing/>
    </w:pPr>
  </w:style>
  <w:style w:type="character" w:customStyle="1" w:styleId="UnresolvedMention">
    <w:name w:val="Unresolved Mention"/>
    <w:uiPriority w:val="99"/>
    <w:semiHidden/>
    <w:unhideWhenUsed/>
    <w:rsid w:val="000A020B"/>
    <w:rPr>
      <w:color w:val="605E5C"/>
      <w:shd w:val="clear" w:color="auto" w:fill="E1DFDD"/>
    </w:rPr>
  </w:style>
  <w:style w:type="paragraph" w:customStyle="1" w:styleId="c02alineaalta">
    <w:name w:val="c02alineaalta"/>
    <w:basedOn w:val="Norml"/>
    <w:rsid w:val="008352D3"/>
    <w:pPr>
      <w:spacing w:before="100" w:beforeAutospacing="1" w:after="100" w:afterAutospacing="1"/>
    </w:pPr>
  </w:style>
  <w:style w:type="character" w:customStyle="1" w:styleId="Cmsor3Char">
    <w:name w:val="Címsor 3 Char"/>
    <w:link w:val="Cmsor3"/>
    <w:semiHidden/>
    <w:rsid w:val="00111F7B"/>
    <w:rPr>
      <w:rFonts w:ascii="Calibri Light" w:eastAsia="Times New Roman" w:hAnsi="Calibri Light" w:cs="Times New Roman"/>
      <w:b/>
      <w:bCs/>
      <w:sz w:val="26"/>
      <w:szCs w:val="26"/>
    </w:rPr>
  </w:style>
  <w:style w:type="paragraph" w:styleId="Lbjegyzetszveg">
    <w:name w:val="footnote text"/>
    <w:aliases w:val="EUMC_Lábjegyzetszöveg,Lábjegyzetszöveg Char1,Lábjegyzetszöveg Char Char,Lábjegyzetszöveg Char2 Char Char1,Lábjegyzet Char Char Char,Lábjegyzet Char,EUMC_Lábjegyzetszöveg1,Lábjegyzetszöveg Char11,Lábjegyzet,Footnote Text Char Char Char1"/>
    <w:basedOn w:val="Norml"/>
    <w:link w:val="LbjegyzetszvegChar"/>
    <w:uiPriority w:val="99"/>
    <w:unhideWhenUsed/>
    <w:qFormat/>
    <w:rsid w:val="00072432"/>
    <w:rPr>
      <w:rFonts w:asciiTheme="minorHAnsi" w:eastAsiaTheme="minorHAnsi" w:hAnsiTheme="minorHAnsi" w:cstheme="minorBidi"/>
      <w:sz w:val="20"/>
      <w:szCs w:val="20"/>
      <w:lang w:val="en-US" w:eastAsia="en-US"/>
    </w:rPr>
  </w:style>
  <w:style w:type="character" w:customStyle="1" w:styleId="LbjegyzetszvegChar">
    <w:name w:val="Lábjegyzetszöveg Char"/>
    <w:aliases w:val="EUMC_Lábjegyzetszöveg Char,Lábjegyzetszöveg Char1 Char,Lábjegyzetszöveg Char Char Char,Lábjegyzetszöveg Char2 Char Char1 Char,Lábjegyzet Char Char Char Char,Lábjegyzet Char Char,EUMC_Lábjegyzetszöveg1 Char,Lábjegyzet Char1"/>
    <w:basedOn w:val="Bekezdsalapbettpusa"/>
    <w:link w:val="Lbjegyzetszveg"/>
    <w:uiPriority w:val="99"/>
    <w:qFormat/>
    <w:rsid w:val="00072432"/>
    <w:rPr>
      <w:rFonts w:asciiTheme="minorHAnsi" w:eastAsiaTheme="minorHAnsi" w:hAnsiTheme="minorHAnsi" w:cstheme="minorBidi"/>
      <w:lang w:val="en-US" w:eastAsia="en-US"/>
    </w:rPr>
  </w:style>
  <w:style w:type="paragraph" w:styleId="lfej">
    <w:name w:val="header"/>
    <w:basedOn w:val="Norml"/>
    <w:link w:val="lfejChar"/>
    <w:uiPriority w:val="99"/>
    <w:rsid w:val="00AC5E3D"/>
    <w:pPr>
      <w:tabs>
        <w:tab w:val="center" w:pos="4536"/>
        <w:tab w:val="right" w:pos="9072"/>
      </w:tabs>
    </w:pPr>
  </w:style>
  <w:style w:type="character" w:customStyle="1" w:styleId="lfejChar">
    <w:name w:val="Élőfej Char"/>
    <w:basedOn w:val="Bekezdsalapbettpusa"/>
    <w:link w:val="lfej"/>
    <w:uiPriority w:val="99"/>
    <w:rsid w:val="00AC5E3D"/>
    <w:rPr>
      <w:sz w:val="24"/>
      <w:szCs w:val="24"/>
    </w:rPr>
  </w:style>
  <w:style w:type="character" w:customStyle="1" w:styleId="llbChar">
    <w:name w:val="Élőláb Char"/>
    <w:basedOn w:val="Bekezdsalapbettpusa"/>
    <w:link w:val="llb"/>
    <w:uiPriority w:val="99"/>
    <w:rsid w:val="00AC5E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5764">
      <w:bodyDiv w:val="1"/>
      <w:marLeft w:val="0"/>
      <w:marRight w:val="0"/>
      <w:marTop w:val="0"/>
      <w:marBottom w:val="0"/>
      <w:divBdr>
        <w:top w:val="none" w:sz="0" w:space="0" w:color="auto"/>
        <w:left w:val="none" w:sz="0" w:space="0" w:color="auto"/>
        <w:bottom w:val="none" w:sz="0" w:space="0" w:color="auto"/>
        <w:right w:val="none" w:sz="0" w:space="0" w:color="auto"/>
      </w:divBdr>
    </w:div>
    <w:div w:id="301665578">
      <w:bodyDiv w:val="1"/>
      <w:marLeft w:val="0"/>
      <w:marRight w:val="0"/>
      <w:marTop w:val="0"/>
      <w:marBottom w:val="0"/>
      <w:divBdr>
        <w:top w:val="none" w:sz="0" w:space="0" w:color="auto"/>
        <w:left w:val="none" w:sz="0" w:space="0" w:color="auto"/>
        <w:bottom w:val="none" w:sz="0" w:space="0" w:color="auto"/>
        <w:right w:val="none" w:sz="0" w:space="0" w:color="auto"/>
      </w:divBdr>
    </w:div>
    <w:div w:id="332345132">
      <w:bodyDiv w:val="1"/>
      <w:marLeft w:val="0"/>
      <w:marRight w:val="0"/>
      <w:marTop w:val="0"/>
      <w:marBottom w:val="0"/>
      <w:divBdr>
        <w:top w:val="none" w:sz="0" w:space="0" w:color="auto"/>
        <w:left w:val="none" w:sz="0" w:space="0" w:color="auto"/>
        <w:bottom w:val="none" w:sz="0" w:space="0" w:color="auto"/>
        <w:right w:val="none" w:sz="0" w:space="0" w:color="auto"/>
      </w:divBdr>
    </w:div>
    <w:div w:id="354231031">
      <w:bodyDiv w:val="1"/>
      <w:marLeft w:val="0"/>
      <w:marRight w:val="0"/>
      <w:marTop w:val="0"/>
      <w:marBottom w:val="0"/>
      <w:divBdr>
        <w:top w:val="none" w:sz="0" w:space="0" w:color="auto"/>
        <w:left w:val="none" w:sz="0" w:space="0" w:color="auto"/>
        <w:bottom w:val="none" w:sz="0" w:space="0" w:color="auto"/>
        <w:right w:val="none" w:sz="0" w:space="0" w:color="auto"/>
      </w:divBdr>
    </w:div>
    <w:div w:id="567306122">
      <w:bodyDiv w:val="1"/>
      <w:marLeft w:val="0"/>
      <w:marRight w:val="0"/>
      <w:marTop w:val="0"/>
      <w:marBottom w:val="0"/>
      <w:divBdr>
        <w:top w:val="none" w:sz="0" w:space="0" w:color="auto"/>
        <w:left w:val="none" w:sz="0" w:space="0" w:color="auto"/>
        <w:bottom w:val="none" w:sz="0" w:space="0" w:color="auto"/>
        <w:right w:val="none" w:sz="0" w:space="0" w:color="auto"/>
      </w:divBdr>
    </w:div>
    <w:div w:id="624312640">
      <w:bodyDiv w:val="1"/>
      <w:marLeft w:val="0"/>
      <w:marRight w:val="0"/>
      <w:marTop w:val="0"/>
      <w:marBottom w:val="0"/>
      <w:divBdr>
        <w:top w:val="none" w:sz="0" w:space="0" w:color="auto"/>
        <w:left w:val="none" w:sz="0" w:space="0" w:color="auto"/>
        <w:bottom w:val="none" w:sz="0" w:space="0" w:color="auto"/>
        <w:right w:val="none" w:sz="0" w:space="0" w:color="auto"/>
      </w:divBdr>
    </w:div>
    <w:div w:id="638464275">
      <w:bodyDiv w:val="1"/>
      <w:marLeft w:val="0"/>
      <w:marRight w:val="0"/>
      <w:marTop w:val="0"/>
      <w:marBottom w:val="0"/>
      <w:divBdr>
        <w:top w:val="none" w:sz="0" w:space="0" w:color="auto"/>
        <w:left w:val="none" w:sz="0" w:space="0" w:color="auto"/>
        <w:bottom w:val="none" w:sz="0" w:space="0" w:color="auto"/>
        <w:right w:val="none" w:sz="0" w:space="0" w:color="auto"/>
      </w:divBdr>
      <w:divsChild>
        <w:div w:id="1932277308">
          <w:marLeft w:val="0"/>
          <w:marRight w:val="0"/>
          <w:marTop w:val="0"/>
          <w:marBottom w:val="0"/>
          <w:divBdr>
            <w:top w:val="none" w:sz="0" w:space="0" w:color="auto"/>
            <w:left w:val="none" w:sz="0" w:space="0" w:color="auto"/>
            <w:bottom w:val="none" w:sz="0" w:space="0" w:color="auto"/>
            <w:right w:val="none" w:sz="0" w:space="0" w:color="auto"/>
          </w:divBdr>
        </w:div>
        <w:div w:id="819078237">
          <w:marLeft w:val="0"/>
          <w:marRight w:val="0"/>
          <w:marTop w:val="0"/>
          <w:marBottom w:val="0"/>
          <w:divBdr>
            <w:top w:val="none" w:sz="0" w:space="0" w:color="auto"/>
            <w:left w:val="none" w:sz="0" w:space="0" w:color="auto"/>
            <w:bottom w:val="none" w:sz="0" w:space="0" w:color="auto"/>
            <w:right w:val="none" w:sz="0" w:space="0" w:color="auto"/>
          </w:divBdr>
          <w:divsChild>
            <w:div w:id="960724525">
              <w:marLeft w:val="0"/>
              <w:marRight w:val="0"/>
              <w:marTop w:val="0"/>
              <w:marBottom w:val="0"/>
              <w:divBdr>
                <w:top w:val="none" w:sz="0" w:space="0" w:color="auto"/>
                <w:left w:val="none" w:sz="0" w:space="0" w:color="auto"/>
                <w:bottom w:val="none" w:sz="0" w:space="0" w:color="auto"/>
                <w:right w:val="none" w:sz="0" w:space="0" w:color="auto"/>
              </w:divBdr>
              <w:divsChild>
                <w:div w:id="973759131">
                  <w:marLeft w:val="0"/>
                  <w:marRight w:val="0"/>
                  <w:marTop w:val="0"/>
                  <w:marBottom w:val="0"/>
                  <w:divBdr>
                    <w:top w:val="none" w:sz="0" w:space="0" w:color="auto"/>
                    <w:left w:val="none" w:sz="0" w:space="0" w:color="auto"/>
                    <w:bottom w:val="none" w:sz="0" w:space="0" w:color="auto"/>
                    <w:right w:val="none" w:sz="0" w:space="0" w:color="auto"/>
                  </w:divBdr>
                </w:div>
                <w:div w:id="17386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6194">
      <w:bodyDiv w:val="1"/>
      <w:marLeft w:val="0"/>
      <w:marRight w:val="0"/>
      <w:marTop w:val="0"/>
      <w:marBottom w:val="0"/>
      <w:divBdr>
        <w:top w:val="none" w:sz="0" w:space="0" w:color="auto"/>
        <w:left w:val="none" w:sz="0" w:space="0" w:color="auto"/>
        <w:bottom w:val="none" w:sz="0" w:space="0" w:color="auto"/>
        <w:right w:val="none" w:sz="0" w:space="0" w:color="auto"/>
      </w:divBdr>
    </w:div>
    <w:div w:id="861550885">
      <w:bodyDiv w:val="1"/>
      <w:marLeft w:val="0"/>
      <w:marRight w:val="0"/>
      <w:marTop w:val="0"/>
      <w:marBottom w:val="0"/>
      <w:divBdr>
        <w:top w:val="none" w:sz="0" w:space="0" w:color="auto"/>
        <w:left w:val="none" w:sz="0" w:space="0" w:color="auto"/>
        <w:bottom w:val="none" w:sz="0" w:space="0" w:color="auto"/>
        <w:right w:val="none" w:sz="0" w:space="0" w:color="auto"/>
      </w:divBdr>
      <w:divsChild>
        <w:div w:id="1711418836">
          <w:marLeft w:val="0"/>
          <w:marRight w:val="0"/>
          <w:marTop w:val="0"/>
          <w:marBottom w:val="0"/>
          <w:divBdr>
            <w:top w:val="none" w:sz="0" w:space="0" w:color="auto"/>
            <w:left w:val="none" w:sz="0" w:space="0" w:color="auto"/>
            <w:bottom w:val="none" w:sz="0" w:space="0" w:color="auto"/>
            <w:right w:val="none" w:sz="0" w:space="0" w:color="auto"/>
          </w:divBdr>
          <w:divsChild>
            <w:div w:id="417488332">
              <w:marLeft w:val="0"/>
              <w:marRight w:val="0"/>
              <w:marTop w:val="0"/>
              <w:marBottom w:val="0"/>
              <w:divBdr>
                <w:top w:val="none" w:sz="0" w:space="0" w:color="auto"/>
                <w:left w:val="none" w:sz="0" w:space="0" w:color="auto"/>
                <w:bottom w:val="none" w:sz="0" w:space="0" w:color="auto"/>
                <w:right w:val="none" w:sz="0" w:space="0" w:color="auto"/>
              </w:divBdr>
            </w:div>
            <w:div w:id="2099055871">
              <w:marLeft w:val="0"/>
              <w:marRight w:val="0"/>
              <w:marTop w:val="0"/>
              <w:marBottom w:val="0"/>
              <w:divBdr>
                <w:top w:val="none" w:sz="0" w:space="0" w:color="auto"/>
                <w:left w:val="none" w:sz="0" w:space="0" w:color="auto"/>
                <w:bottom w:val="none" w:sz="0" w:space="0" w:color="auto"/>
                <w:right w:val="none" w:sz="0" w:space="0" w:color="auto"/>
              </w:divBdr>
            </w:div>
            <w:div w:id="21466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0495">
      <w:bodyDiv w:val="1"/>
      <w:marLeft w:val="0"/>
      <w:marRight w:val="0"/>
      <w:marTop w:val="0"/>
      <w:marBottom w:val="0"/>
      <w:divBdr>
        <w:top w:val="none" w:sz="0" w:space="0" w:color="auto"/>
        <w:left w:val="none" w:sz="0" w:space="0" w:color="auto"/>
        <w:bottom w:val="none" w:sz="0" w:space="0" w:color="auto"/>
        <w:right w:val="none" w:sz="0" w:space="0" w:color="auto"/>
      </w:divBdr>
    </w:div>
    <w:div w:id="1115102000">
      <w:bodyDiv w:val="1"/>
      <w:marLeft w:val="0"/>
      <w:marRight w:val="0"/>
      <w:marTop w:val="0"/>
      <w:marBottom w:val="0"/>
      <w:divBdr>
        <w:top w:val="none" w:sz="0" w:space="0" w:color="auto"/>
        <w:left w:val="none" w:sz="0" w:space="0" w:color="auto"/>
        <w:bottom w:val="none" w:sz="0" w:space="0" w:color="auto"/>
        <w:right w:val="none" w:sz="0" w:space="0" w:color="auto"/>
      </w:divBdr>
    </w:div>
    <w:div w:id="1145969190">
      <w:bodyDiv w:val="1"/>
      <w:marLeft w:val="0"/>
      <w:marRight w:val="0"/>
      <w:marTop w:val="0"/>
      <w:marBottom w:val="0"/>
      <w:divBdr>
        <w:top w:val="none" w:sz="0" w:space="0" w:color="auto"/>
        <w:left w:val="none" w:sz="0" w:space="0" w:color="auto"/>
        <w:bottom w:val="none" w:sz="0" w:space="0" w:color="auto"/>
        <w:right w:val="none" w:sz="0" w:space="0" w:color="auto"/>
      </w:divBdr>
    </w:div>
    <w:div w:id="1283461863">
      <w:bodyDiv w:val="1"/>
      <w:marLeft w:val="0"/>
      <w:marRight w:val="0"/>
      <w:marTop w:val="0"/>
      <w:marBottom w:val="0"/>
      <w:divBdr>
        <w:top w:val="none" w:sz="0" w:space="0" w:color="auto"/>
        <w:left w:val="none" w:sz="0" w:space="0" w:color="auto"/>
        <w:bottom w:val="none" w:sz="0" w:space="0" w:color="auto"/>
        <w:right w:val="none" w:sz="0" w:space="0" w:color="auto"/>
      </w:divBdr>
      <w:divsChild>
        <w:div w:id="537157884">
          <w:marLeft w:val="0"/>
          <w:marRight w:val="0"/>
          <w:marTop w:val="0"/>
          <w:marBottom w:val="0"/>
          <w:divBdr>
            <w:top w:val="none" w:sz="0" w:space="0" w:color="auto"/>
            <w:left w:val="none" w:sz="0" w:space="0" w:color="auto"/>
            <w:bottom w:val="none" w:sz="0" w:space="0" w:color="auto"/>
            <w:right w:val="none" w:sz="0" w:space="0" w:color="auto"/>
          </w:divBdr>
          <w:divsChild>
            <w:div w:id="1125386668">
              <w:marLeft w:val="0"/>
              <w:marRight w:val="0"/>
              <w:marTop w:val="0"/>
              <w:marBottom w:val="0"/>
              <w:divBdr>
                <w:top w:val="none" w:sz="0" w:space="0" w:color="auto"/>
                <w:left w:val="none" w:sz="0" w:space="0" w:color="auto"/>
                <w:bottom w:val="none" w:sz="0" w:space="0" w:color="auto"/>
                <w:right w:val="none" w:sz="0" w:space="0" w:color="auto"/>
              </w:divBdr>
              <w:divsChild>
                <w:div w:id="15806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6919">
      <w:bodyDiv w:val="1"/>
      <w:marLeft w:val="0"/>
      <w:marRight w:val="0"/>
      <w:marTop w:val="0"/>
      <w:marBottom w:val="0"/>
      <w:divBdr>
        <w:top w:val="none" w:sz="0" w:space="0" w:color="auto"/>
        <w:left w:val="none" w:sz="0" w:space="0" w:color="auto"/>
        <w:bottom w:val="none" w:sz="0" w:space="0" w:color="auto"/>
        <w:right w:val="none" w:sz="0" w:space="0" w:color="auto"/>
      </w:divBdr>
    </w:div>
    <w:div w:id="1505509250">
      <w:bodyDiv w:val="1"/>
      <w:marLeft w:val="0"/>
      <w:marRight w:val="0"/>
      <w:marTop w:val="0"/>
      <w:marBottom w:val="0"/>
      <w:divBdr>
        <w:top w:val="none" w:sz="0" w:space="0" w:color="auto"/>
        <w:left w:val="none" w:sz="0" w:space="0" w:color="auto"/>
        <w:bottom w:val="none" w:sz="0" w:space="0" w:color="auto"/>
        <w:right w:val="none" w:sz="0" w:space="0" w:color="auto"/>
      </w:divBdr>
    </w:div>
    <w:div w:id="1626738257">
      <w:bodyDiv w:val="1"/>
      <w:marLeft w:val="0"/>
      <w:marRight w:val="0"/>
      <w:marTop w:val="0"/>
      <w:marBottom w:val="0"/>
      <w:divBdr>
        <w:top w:val="none" w:sz="0" w:space="0" w:color="auto"/>
        <w:left w:val="none" w:sz="0" w:space="0" w:color="auto"/>
        <w:bottom w:val="none" w:sz="0" w:space="0" w:color="auto"/>
        <w:right w:val="none" w:sz="0" w:space="0" w:color="auto"/>
      </w:divBdr>
      <w:divsChild>
        <w:div w:id="664626706">
          <w:marLeft w:val="0"/>
          <w:marRight w:val="0"/>
          <w:marTop w:val="0"/>
          <w:marBottom w:val="0"/>
          <w:divBdr>
            <w:top w:val="none" w:sz="0" w:space="0" w:color="auto"/>
            <w:left w:val="none" w:sz="0" w:space="0" w:color="auto"/>
            <w:bottom w:val="none" w:sz="0" w:space="0" w:color="auto"/>
            <w:right w:val="none" w:sz="0" w:space="0" w:color="auto"/>
          </w:divBdr>
          <w:divsChild>
            <w:div w:id="437411604">
              <w:marLeft w:val="0"/>
              <w:marRight w:val="0"/>
              <w:marTop w:val="0"/>
              <w:marBottom w:val="0"/>
              <w:divBdr>
                <w:top w:val="none" w:sz="0" w:space="0" w:color="auto"/>
                <w:left w:val="none" w:sz="0" w:space="0" w:color="auto"/>
                <w:bottom w:val="none" w:sz="0" w:space="0" w:color="auto"/>
                <w:right w:val="none" w:sz="0" w:space="0" w:color="auto"/>
              </w:divBdr>
              <w:divsChild>
                <w:div w:id="444807764">
                  <w:marLeft w:val="0"/>
                  <w:marRight w:val="0"/>
                  <w:marTop w:val="0"/>
                  <w:marBottom w:val="0"/>
                  <w:divBdr>
                    <w:top w:val="none" w:sz="0" w:space="0" w:color="auto"/>
                    <w:left w:val="none" w:sz="0" w:space="0" w:color="auto"/>
                    <w:bottom w:val="none" w:sz="0" w:space="0" w:color="auto"/>
                    <w:right w:val="none" w:sz="0" w:space="0" w:color="auto"/>
                  </w:divBdr>
                </w:div>
                <w:div w:id="546727043">
                  <w:marLeft w:val="0"/>
                  <w:marRight w:val="0"/>
                  <w:marTop w:val="0"/>
                  <w:marBottom w:val="0"/>
                  <w:divBdr>
                    <w:top w:val="none" w:sz="0" w:space="0" w:color="auto"/>
                    <w:left w:val="none" w:sz="0" w:space="0" w:color="auto"/>
                    <w:bottom w:val="none" w:sz="0" w:space="0" w:color="auto"/>
                    <w:right w:val="none" w:sz="0" w:space="0" w:color="auto"/>
                  </w:divBdr>
                </w:div>
                <w:div w:id="1215384972">
                  <w:marLeft w:val="0"/>
                  <w:marRight w:val="0"/>
                  <w:marTop w:val="0"/>
                  <w:marBottom w:val="0"/>
                  <w:divBdr>
                    <w:top w:val="none" w:sz="0" w:space="0" w:color="auto"/>
                    <w:left w:val="none" w:sz="0" w:space="0" w:color="auto"/>
                    <w:bottom w:val="none" w:sz="0" w:space="0" w:color="auto"/>
                    <w:right w:val="none" w:sz="0" w:space="0" w:color="auto"/>
                  </w:divBdr>
                </w:div>
                <w:div w:id="1658000669">
                  <w:marLeft w:val="0"/>
                  <w:marRight w:val="0"/>
                  <w:marTop w:val="0"/>
                  <w:marBottom w:val="0"/>
                  <w:divBdr>
                    <w:top w:val="none" w:sz="0" w:space="0" w:color="auto"/>
                    <w:left w:val="none" w:sz="0" w:space="0" w:color="auto"/>
                    <w:bottom w:val="none" w:sz="0" w:space="0" w:color="auto"/>
                    <w:right w:val="none" w:sz="0" w:space="0" w:color="auto"/>
                  </w:divBdr>
                </w:div>
                <w:div w:id="1723822300">
                  <w:marLeft w:val="0"/>
                  <w:marRight w:val="0"/>
                  <w:marTop w:val="0"/>
                  <w:marBottom w:val="0"/>
                  <w:divBdr>
                    <w:top w:val="none" w:sz="0" w:space="0" w:color="auto"/>
                    <w:left w:val="none" w:sz="0" w:space="0" w:color="auto"/>
                    <w:bottom w:val="none" w:sz="0" w:space="0" w:color="auto"/>
                    <w:right w:val="none" w:sz="0" w:space="0" w:color="auto"/>
                  </w:divBdr>
                </w:div>
                <w:div w:id="20535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18136">
      <w:bodyDiv w:val="1"/>
      <w:marLeft w:val="0"/>
      <w:marRight w:val="0"/>
      <w:marTop w:val="0"/>
      <w:marBottom w:val="0"/>
      <w:divBdr>
        <w:top w:val="none" w:sz="0" w:space="0" w:color="auto"/>
        <w:left w:val="none" w:sz="0" w:space="0" w:color="auto"/>
        <w:bottom w:val="none" w:sz="0" w:space="0" w:color="auto"/>
        <w:right w:val="none" w:sz="0" w:space="0" w:color="auto"/>
      </w:divBdr>
    </w:div>
    <w:div w:id="1730880440">
      <w:bodyDiv w:val="1"/>
      <w:marLeft w:val="0"/>
      <w:marRight w:val="0"/>
      <w:marTop w:val="0"/>
      <w:marBottom w:val="0"/>
      <w:divBdr>
        <w:top w:val="none" w:sz="0" w:space="0" w:color="auto"/>
        <w:left w:val="none" w:sz="0" w:space="0" w:color="auto"/>
        <w:bottom w:val="none" w:sz="0" w:space="0" w:color="auto"/>
        <w:right w:val="none" w:sz="0" w:space="0" w:color="auto"/>
      </w:divBdr>
    </w:div>
    <w:div w:id="1957178506">
      <w:bodyDiv w:val="1"/>
      <w:marLeft w:val="0"/>
      <w:marRight w:val="0"/>
      <w:marTop w:val="0"/>
      <w:marBottom w:val="0"/>
      <w:divBdr>
        <w:top w:val="none" w:sz="0" w:space="0" w:color="auto"/>
        <w:left w:val="none" w:sz="0" w:space="0" w:color="auto"/>
        <w:bottom w:val="none" w:sz="0" w:space="0" w:color="auto"/>
        <w:right w:val="none" w:sz="0" w:space="0" w:color="auto"/>
      </w:divBdr>
    </w:div>
    <w:div w:id="2006321259">
      <w:bodyDiv w:val="1"/>
      <w:marLeft w:val="0"/>
      <w:marRight w:val="0"/>
      <w:marTop w:val="0"/>
      <w:marBottom w:val="0"/>
      <w:divBdr>
        <w:top w:val="none" w:sz="0" w:space="0" w:color="auto"/>
        <w:left w:val="none" w:sz="0" w:space="0" w:color="auto"/>
        <w:bottom w:val="none" w:sz="0" w:space="0" w:color="auto"/>
        <w:right w:val="none" w:sz="0" w:space="0" w:color="auto"/>
      </w:divBdr>
    </w:div>
    <w:div w:id="2057780081">
      <w:bodyDiv w:val="1"/>
      <w:marLeft w:val="0"/>
      <w:marRight w:val="0"/>
      <w:marTop w:val="0"/>
      <w:marBottom w:val="0"/>
      <w:divBdr>
        <w:top w:val="none" w:sz="0" w:space="0" w:color="auto"/>
        <w:left w:val="none" w:sz="0" w:space="0" w:color="auto"/>
        <w:bottom w:val="none" w:sz="0" w:space="0" w:color="auto"/>
        <w:right w:val="none" w:sz="0" w:space="0" w:color="auto"/>
      </w:divBdr>
    </w:div>
    <w:div w:id="21412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ho.int/reproductivehealth/publications/eliminating-virginity-testing-interagency-statement/en/" TargetMode="External"/><Relationship Id="rId21" Type="http://schemas.openxmlformats.org/officeDocument/2006/relationships/hyperlink" Target="http://www.coe.int/t/dg4/education/minlang/default_en.asp" TargetMode="External"/><Relationship Id="rId42" Type="http://schemas.openxmlformats.org/officeDocument/2006/relationships/hyperlink" Target="https://verfassungsblog.de/a-new-chapter-in-israels-constitution-israel-as-the-nation-state-of-the-jewish-people/" TargetMode="External"/><Relationship Id="rId47" Type="http://schemas.openxmlformats.org/officeDocument/2006/relationships/hyperlink" Target="https://www.ilo.org/dyn/normlex/en/f?p=NORMLEXPUB:12100:::NO:12100:P12100_ILO_CODE:C190:NO" TargetMode="External"/><Relationship Id="rId63" Type="http://schemas.openxmlformats.org/officeDocument/2006/relationships/hyperlink" Target="https://digitalcommons.law.yale.edu/cgi/viewcontent.cgi?referer=&amp;httpsredir=1&amp;article=1136&amp;context=yhrdlj" TargetMode="External"/><Relationship Id="rId68" Type="http://schemas.openxmlformats.org/officeDocument/2006/relationships/hyperlink" Target="https://www.semanticscholar.org/paper/Blood-Quantum-Land-Laws-and-the-Race-versus-Dilemma-Villazor/36e2db510eec601f6a6afb6d2dd8a472a1d9c53b" TargetMode="External"/><Relationship Id="rId84" Type="http://schemas.openxmlformats.org/officeDocument/2006/relationships/hyperlink" Target="https://supreme.justia.com/cases/federal/us/432/43/" TargetMode="External"/><Relationship Id="rId89" Type="http://schemas.openxmlformats.org/officeDocument/2006/relationships/hyperlink" Target="https://papers.ssrn.com/sol3/papers.cfm?abstract_id=1917592" TargetMode="External"/><Relationship Id="rId16" Type="http://schemas.openxmlformats.org/officeDocument/2006/relationships/hyperlink" Target="http://www.coe.int/t/dg4/education/minlang/default_en.asp" TargetMode="External"/><Relationship Id="rId11" Type="http://schemas.openxmlformats.org/officeDocument/2006/relationships/hyperlink" Target="https://www.echr.coe.int/Documents/Convention_Eng.pdf" TargetMode="External"/><Relationship Id="rId32" Type="http://schemas.openxmlformats.org/officeDocument/2006/relationships/hyperlink" Target="http://www.whrin.org/wp-content/uploads/2017/10/2017-UNREPORT-final.pdf" TargetMode="External"/><Relationship Id="rId37" Type="http://schemas.openxmlformats.org/officeDocument/2006/relationships/hyperlink" Target="https://eur-lex.europa.eu/eli/reg/2016/679/oj" TargetMode="External"/><Relationship Id="rId53" Type="http://schemas.openxmlformats.org/officeDocument/2006/relationships/hyperlink" Target="https://supreme.justia.com/cases/federal/us/438/265/" TargetMode="External"/><Relationship Id="rId58" Type="http://schemas.openxmlformats.org/officeDocument/2006/relationships/hyperlink" Target="https://www.scotusblog.com/case-files/cases/students-for-fair-admissions-inc-v-president-fellows-of-harvard-college/" TargetMode="External"/><Relationship Id="rId74" Type="http://schemas.openxmlformats.org/officeDocument/2006/relationships/hyperlink" Target="https://www.oyez.org/cases/1986/84-6811" TargetMode="External"/><Relationship Id="rId79" Type="http://schemas.openxmlformats.org/officeDocument/2006/relationships/hyperlink" Target="https://eur-lex.europa.eu/legal-content/en/ALL/?uri=CELEX%3A32008F0913" TargetMode="External"/><Relationship Id="rId102" Type="http://schemas.openxmlformats.org/officeDocument/2006/relationships/hyperlink" Target="https://www.hrw.org/node/336681/printable/print" TargetMode="External"/><Relationship Id="rId5" Type="http://schemas.openxmlformats.org/officeDocument/2006/relationships/webSettings" Target="webSettings.xml"/><Relationship Id="rId90" Type="http://schemas.openxmlformats.org/officeDocument/2006/relationships/hyperlink" Target="http://www.asylumlawdatabase.eu/en/case-law/ireland-high-court-27-april-2012-hm-v-minister-justice-and-law-reform-2012-iehc-176" TargetMode="External"/><Relationship Id="rId95" Type="http://schemas.openxmlformats.org/officeDocument/2006/relationships/hyperlink" Target="https://helsinki.hu/wp-content/uploads/Credibility-Assessment-in-Asylum-Procedures-CREDO-manual.pdf" TargetMode="External"/><Relationship Id="rId22" Type="http://schemas.openxmlformats.org/officeDocument/2006/relationships/hyperlink" Target="https://en.wikipedia.org/wiki/Convention_on_the_Rights_of_Persons_with_Disabilities" TargetMode="External"/><Relationship Id="rId27" Type="http://schemas.openxmlformats.org/officeDocument/2006/relationships/hyperlink" Target="https://www.bbc.com/news/newsbeat-55078634" TargetMode="External"/><Relationship Id="rId43" Type="http://schemas.openxmlformats.org/officeDocument/2006/relationships/hyperlink" Target="https://supreme.justia.com/cases/federal/us/323/214/" TargetMode="External"/><Relationship Id="rId48" Type="http://schemas.openxmlformats.org/officeDocument/2006/relationships/hyperlink" Target="https://www.ilo.org/dyn/normlex/en/f?p=NORMLEXPUB:12100:0::NO::P12100_ILO_CODE:C190" TargetMode="External"/><Relationship Id="rId64" Type="http://schemas.openxmlformats.org/officeDocument/2006/relationships/hyperlink" Target="https://supreme.justia.com/cases/federal/us/490/30/" TargetMode="External"/><Relationship Id="rId69" Type="http://schemas.openxmlformats.org/officeDocument/2006/relationships/hyperlink" Target="https://brooklynworks.brooklaw.edu/bjil/vol41/iss1/9/" TargetMode="External"/><Relationship Id="rId80" Type="http://schemas.openxmlformats.org/officeDocument/2006/relationships/hyperlink" Target="https://rm.coe.int/ecri-general-policy-recommendation-no-15-on-combating-hate-speech/16808b5b01" TargetMode="External"/><Relationship Id="rId85" Type="http://schemas.openxmlformats.org/officeDocument/2006/relationships/hyperlink" Target="https://supreme.justia.com/cases/federal/us/538/343/" TargetMode="External"/><Relationship Id="rId12" Type="http://schemas.openxmlformats.org/officeDocument/2006/relationships/hyperlink" Target="https://treaties.un.org/doc/publication/unts/volume%201144/volume-1144-i-17955-english.pdf" TargetMode="External"/><Relationship Id="rId17" Type="http://schemas.openxmlformats.org/officeDocument/2006/relationships/hyperlink" Target="https://en.wikipedia.org/wiki/Convention_on_the_Rights_of_Persons_with_Disabilities" TargetMode="External"/><Relationship Id="rId33" Type="http://schemas.openxmlformats.org/officeDocument/2006/relationships/hyperlink" Target="https://www.who.int/publications/i/item/WHO-RHR-18.15" TargetMode="External"/><Relationship Id="rId38" Type="http://schemas.openxmlformats.org/officeDocument/2006/relationships/hyperlink" Target="https://www.ravellaw.com/opinions/a909c072e5e43b56a45e7158b726f696" TargetMode="External"/><Relationship Id="rId59" Type="http://schemas.openxmlformats.org/officeDocument/2006/relationships/hyperlink" Target="https://ballotpedia.org/Students_for_Fair_Admissions,_Inc._v._President_%26_Fellows_of_Harvard" TargetMode="External"/><Relationship Id="rId103" Type="http://schemas.openxmlformats.org/officeDocument/2006/relationships/footer" Target="footer1.xml"/><Relationship Id="rId20" Type="http://schemas.openxmlformats.org/officeDocument/2006/relationships/hyperlink" Target="https://yogyakartaprinciples.org/" TargetMode="External"/><Relationship Id="rId41" Type="http://schemas.openxmlformats.org/officeDocument/2006/relationships/hyperlink" Target="https://papers.ssrn.com/sol3/papers.cfm?abstract_id=2506379" TargetMode="External"/><Relationship Id="rId54" Type="http://schemas.openxmlformats.org/officeDocument/2006/relationships/hyperlink" Target="http://en.wikipedia.org/wiki/Case_citation" TargetMode="External"/><Relationship Id="rId62" Type="http://schemas.openxmlformats.org/officeDocument/2006/relationships/hyperlink" Target="https://www.ohchr.org/EN/ProfessionalInterest/Pages/StatusOfRefugees.aspx" TargetMode="External"/><Relationship Id="rId70" Type="http://schemas.openxmlformats.org/officeDocument/2006/relationships/hyperlink" Target="https://scholar.smu.edu/smulr/vol71/iss1/14/" TargetMode="External"/><Relationship Id="rId75" Type="http://schemas.openxmlformats.org/officeDocument/2006/relationships/hyperlink" Target="https://casetext.com/case/floyd-v-city-of-ny-2" TargetMode="External"/><Relationship Id="rId83" Type="http://schemas.openxmlformats.org/officeDocument/2006/relationships/hyperlink" Target="https://hudoc.echr.coe.int/app/conversion/pdf/?library=ECHR&amp;id=001-155105&amp;filename=001-155105.pdf" TargetMode="External"/><Relationship Id="rId88" Type="http://schemas.openxmlformats.org/officeDocument/2006/relationships/hyperlink" Target="https://www.un.org/en/sections/issues-depth/refugees/" TargetMode="External"/><Relationship Id="rId91" Type="http://schemas.openxmlformats.org/officeDocument/2006/relationships/hyperlink" Target="https://www.asylumlawdatabase.eu/en/case-law/ireland-high-court-27-april-2012-hm-v-minister-justice-and-law-reform-2012-iehc-176" TargetMode="External"/><Relationship Id="rId96" Type="http://schemas.openxmlformats.org/officeDocument/2006/relationships/hyperlink" Target="https://rm.coe.int/conventionistanbularticle60-61-web/16809952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hchr.org/EN/ProfessionalInterest/Pages/Minorities.aspx" TargetMode="External"/><Relationship Id="rId23" Type="http://schemas.openxmlformats.org/officeDocument/2006/relationships/hyperlink" Target="http://www.un.org/womenwatch/daw/cedaw/cedaw.htm" TargetMode="External"/><Relationship Id="rId28" Type="http://schemas.openxmlformats.org/officeDocument/2006/relationships/hyperlink" Target="https://www.humanitarianresponse.info/sites/www.humanitarianresponse.info/files/documents/files/virginity_testing_eng.pdf" TargetMode="External"/><Relationship Id="rId36" Type="http://schemas.openxmlformats.org/officeDocument/2006/relationships/hyperlink" Target="https://www.bbc.com/news/newsbeat-55078634" TargetMode="External"/><Relationship Id="rId49" Type="http://schemas.openxmlformats.org/officeDocument/2006/relationships/hyperlink" Target="https://curia.europa.eu/juris/document/document.jsf?docid=165912&amp;doclang=EN" TargetMode="External"/><Relationship Id="rId57" Type="http://schemas.openxmlformats.org/officeDocument/2006/relationships/hyperlink" Target="https://www.law.cornell.edu/supremecourt/text/12-682" TargetMode="External"/><Relationship Id="rId106" Type="http://schemas.openxmlformats.org/officeDocument/2006/relationships/theme" Target="theme/theme1.xml"/><Relationship Id="rId10" Type="http://schemas.openxmlformats.org/officeDocument/2006/relationships/hyperlink" Target="https://www.ohchr.org/en/professionalinterest/pages/ccpr.aspx" TargetMode="External"/><Relationship Id="rId31" Type="http://schemas.openxmlformats.org/officeDocument/2006/relationships/hyperlink" Target="https://www.humanitarianresponse.info/sites/www.humanitarianresponse.info/files/documents/files/virginity_testing_eng.pdf" TargetMode="External"/><Relationship Id="rId44" Type="http://schemas.openxmlformats.org/officeDocument/2006/relationships/hyperlink" Target="https://intersections.tk.mta.hu/index.php/intersections/article/view/497" TargetMode="External"/><Relationship Id="rId52" Type="http://schemas.openxmlformats.org/officeDocument/2006/relationships/hyperlink" Target="https://plato.stanford.edu/index.html" TargetMode="External"/><Relationship Id="rId60" Type="http://schemas.openxmlformats.org/officeDocument/2006/relationships/hyperlink" Target="http://en.wikipedia.org/wiki/Case_citation" TargetMode="External"/><Relationship Id="rId65" Type="http://schemas.openxmlformats.org/officeDocument/2006/relationships/hyperlink" Target="https://www.oyez.org/cases/2012/12-399" TargetMode="External"/><Relationship Id="rId73" Type="http://schemas.openxmlformats.org/officeDocument/2006/relationships/hyperlink" Target="https://fra.europa.eu/sites/default/files/fra_uploads/fra-2018-preventing-unlawful-profiling-guide_en.pdf" TargetMode="External"/><Relationship Id="rId78" Type="http://schemas.openxmlformats.org/officeDocument/2006/relationships/hyperlink" Target="https://www.cambridge.org/core/journals/nationalities-papers/article/neglect-marginalization-and-abuse-hate-crime-legislation-and-practice-in-the-labyrinth-of-identity-politics-minority-protection-and-penal-populism/8C75584B29DDC53C2EE9FD59F89C11B5" TargetMode="External"/><Relationship Id="rId81" Type="http://schemas.openxmlformats.org/officeDocument/2006/relationships/hyperlink" Target="https://futurefreespeech.com/giniewski-v-france/" TargetMode="External"/><Relationship Id="rId86" Type="http://schemas.openxmlformats.org/officeDocument/2006/relationships/hyperlink" Target="https://www.nytimes.com/2014/01/16/world/middleeast/israels-efforts-to-limit-use-of-holocaust-terms-raise-free-speech-questions.html" TargetMode="External"/><Relationship Id="rId94" Type="http://schemas.openxmlformats.org/officeDocument/2006/relationships/hyperlink" Target="https://repository.law.umich.edu/cgi/viewcontent.cgi?article=2481&amp;context=articles" TargetMode="External"/><Relationship Id="rId99" Type="http://schemas.openxmlformats.org/officeDocument/2006/relationships/hyperlink" Target="https://minorityrights.org/wp-content/uploads/old-site-downloads/download-787-Briefing-Paper-Discrimination-and-political-participation-in-Bosnia-and-Herzegovina.pdf" TargetMode="External"/><Relationship Id="rId101" Type="http://schemas.openxmlformats.org/officeDocument/2006/relationships/hyperlink" Target="https://www.venice.coe.int/webforms/documents/default.aspx?pdffile=CDL-AD(2005)009-e" TargetMode="External"/><Relationship Id="rId4" Type="http://schemas.openxmlformats.org/officeDocument/2006/relationships/settings" Target="settings.xml"/><Relationship Id="rId9" Type="http://schemas.openxmlformats.org/officeDocument/2006/relationships/hyperlink" Target="https://www.un.org/en/universal-declaration-human-rights/" TargetMode="External"/><Relationship Id="rId13" Type="http://schemas.openxmlformats.org/officeDocument/2006/relationships/hyperlink" Target="https://www.achpr.org/legalinstruments/detail?id=49" TargetMode="External"/><Relationship Id="rId18" Type="http://schemas.openxmlformats.org/officeDocument/2006/relationships/hyperlink" Target="http://www.un.org/womenwatch/daw/cedaw/cedaw.htm" TargetMode="External"/><Relationship Id="rId39" Type="http://schemas.openxmlformats.org/officeDocument/2006/relationships/hyperlink" Target="https://ec.europa.eu/migrant-integration/librarydoc/ethnic-statistics-and-data-protection-in-the-council-of-europe-countries-a-study-report" TargetMode="External"/><Relationship Id="rId34" Type="http://schemas.openxmlformats.org/officeDocument/2006/relationships/hyperlink" Target="https://www.acog.org/clinical-information/policy-and-position-statements/statements-of-policy/2020/virginity-testing" TargetMode="External"/><Relationship Id="rId50" Type="http://schemas.openxmlformats.org/officeDocument/2006/relationships/hyperlink" Target="https://ec.europa.eu/info/policies/justice-and-fundamental-rights/combatting-discrimination/roma-eu/roma-equality-inclusion-and-participation-eu/eu-roma-national-integration-strategies-2020_en" TargetMode="External"/><Relationship Id="rId55" Type="http://schemas.openxmlformats.org/officeDocument/2006/relationships/hyperlink" Target="https://supreme.justia.com/cases/federal/us/539/306/" TargetMode="External"/><Relationship Id="rId76" Type="http://schemas.openxmlformats.org/officeDocument/2006/relationships/hyperlink" Target="https://fra.europa.eu/sites/default/files/fra_uploads/fra-2016-justice-hate_crime-victims_en.pdf" TargetMode="External"/><Relationship Id="rId97" Type="http://schemas.openxmlformats.org/officeDocument/2006/relationships/hyperlink" Target="https://rm.coe.int/conventionistanbularticle60-61-web/1680995244"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doi.org/10.1525/sop.2006.49.4.559" TargetMode="External"/><Relationship Id="rId92" Type="http://schemas.openxmlformats.org/officeDocument/2006/relationships/hyperlink" Target="http://www.asylumlawdatabase.eu/en/case-law/sweden-migration-court-appeal-30-november-2011-um-7850-10" TargetMode="External"/><Relationship Id="rId2" Type="http://schemas.openxmlformats.org/officeDocument/2006/relationships/numbering" Target="numbering.xml"/><Relationship Id="rId29" Type="http://schemas.openxmlformats.org/officeDocument/2006/relationships/hyperlink" Target="https://www.who.int/reproductivehealth/publications/eliminating-virginity-testing-interagency-statement/en/" TargetMode="External"/><Relationship Id="rId24" Type="http://schemas.openxmlformats.org/officeDocument/2006/relationships/hyperlink" Target="https://en.wikipedia.org/wiki/The_Yogyakarta_Principles" TargetMode="External"/><Relationship Id="rId40" Type="http://schemas.openxmlformats.org/officeDocument/2006/relationships/hyperlink" Target="https://www.nyulawreview.org/issues/volume-88-number-1/assuming-responsibility-for-who-you-are-the-right-to-choose-immutable-identity-characteristics/" TargetMode="External"/><Relationship Id="rId45" Type="http://schemas.openxmlformats.org/officeDocument/2006/relationships/hyperlink" Target="https://www.jstor.org/stable/i252725" TargetMode="External"/><Relationship Id="rId66" Type="http://schemas.openxmlformats.org/officeDocument/2006/relationships/hyperlink" Target="https://www.oyez.org/cases/1999/98-818" TargetMode="External"/><Relationship Id="rId87" Type="http://schemas.openxmlformats.org/officeDocument/2006/relationships/hyperlink" Target="https://www.unhcr.org/4d93528a9.pdf" TargetMode="External"/><Relationship Id="rId61" Type="http://schemas.openxmlformats.org/officeDocument/2006/relationships/hyperlink" Target="https://www.chronicle.com/article/feds-release-guidance-in-wake-of-supreme-courts-ruling-on-admissions" TargetMode="External"/><Relationship Id="rId82" Type="http://schemas.openxmlformats.org/officeDocument/2006/relationships/hyperlink" Target="https://hudoc.echr.coe.int/fre" TargetMode="External"/><Relationship Id="rId19" Type="http://schemas.openxmlformats.org/officeDocument/2006/relationships/hyperlink" Target="https://en.wikipedia.org/wiki/The_Yogyakarta_Principles" TargetMode="External"/><Relationship Id="rId14" Type="http://schemas.openxmlformats.org/officeDocument/2006/relationships/hyperlink" Target="https://www.europarl.europa.eu/charter/pdf/text_en.pdf" TargetMode="External"/><Relationship Id="rId30" Type="http://schemas.openxmlformats.org/officeDocument/2006/relationships/hyperlink" Target="https://www.bbc.com/news/newsbeat-55078634" TargetMode="External"/><Relationship Id="rId35" Type="http://schemas.openxmlformats.org/officeDocument/2006/relationships/hyperlink" Target="https://www.humanitarianresponse.info/sites/www.humanitarianresponse.info/files/documents/files/virginity_testing_eng.pdf" TargetMode="External"/><Relationship Id="rId56" Type="http://schemas.openxmlformats.org/officeDocument/2006/relationships/hyperlink" Target="https://www.oyez.org/cases/2012/11-345" TargetMode="External"/><Relationship Id="rId77" Type="http://schemas.openxmlformats.org/officeDocument/2006/relationships/hyperlink" Target="https://bulletin.cepol.europa.eu/index.php/bulletin/article/view/539/411" TargetMode="External"/><Relationship Id="rId100" Type="http://schemas.openxmlformats.org/officeDocument/2006/relationships/hyperlink" Target="https://rm.coe.int/CoERMPublicCommonSearchServices/DisplayDCTMContent?documentId=09000016800bc7e8" TargetMode="External"/><Relationship Id="rId105" Type="http://schemas.openxmlformats.org/officeDocument/2006/relationships/fontTable" Target="fontTable.xml"/><Relationship Id="rId8" Type="http://schemas.openxmlformats.org/officeDocument/2006/relationships/hyperlink" Target="https://www.refworld.org/docid/4db80ca52.html" TargetMode="External"/><Relationship Id="rId51" Type="http://schemas.openxmlformats.org/officeDocument/2006/relationships/hyperlink" Target="https://www.rcc.int/romaintegration2020/romadecadefold//decade%20implementation/5.%20Decade%20Secretariat%20Reports/A%20Lost%20Decade.pdf" TargetMode="External"/><Relationship Id="rId72" Type="http://schemas.openxmlformats.org/officeDocument/2006/relationships/hyperlink" Target="https://www.europarl.europa.eu/thinktank/en/document.html?reference=IPOL-LIBE_ET%282008%29408326" TargetMode="External"/><Relationship Id="rId93" Type="http://schemas.openxmlformats.org/officeDocument/2006/relationships/hyperlink" Target="https://www.asylumlawdatabase.eu/en/case-law/sweden-migration-court-appeal-30-november-2011-um-7850-10" TargetMode="External"/><Relationship Id="rId98" Type="http://schemas.openxmlformats.org/officeDocument/2006/relationships/hyperlink" Target="https://www.asylumlawdatabase.eu/en/content/cjeu-case-c%E2%80%9147213-andre-lawrence-shepherd-v-bundesrepublik-deutschland-26-february-2015" TargetMode="External"/><Relationship Id="rId3" Type="http://schemas.openxmlformats.org/officeDocument/2006/relationships/styles" Target="styles.xml"/><Relationship Id="rId25" Type="http://schemas.openxmlformats.org/officeDocument/2006/relationships/hyperlink" Target="https://www.fuen.org/en/article/Minority-SafePack-The-European-Commission-turned-its-back-on-national-minorities" TargetMode="External"/><Relationship Id="rId46" Type="http://schemas.openxmlformats.org/officeDocument/2006/relationships/hyperlink" Target="https://www.jstor.org/stable/1229039" TargetMode="External"/><Relationship Id="rId67" Type="http://schemas.openxmlformats.org/officeDocument/2006/relationships/hyperlink" Target="https://supreme.justia.com/cases/federal/us/417/53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65A5-294E-4036-A4E5-4EC33FCA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6707</Words>
  <Characters>38974</Characters>
  <Application>Microsoft Office Word</Application>
  <DocSecurity>0</DocSecurity>
  <Lines>533</Lines>
  <Paragraphs>66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Legal and Institutional Approaches to Minority Protection</vt:lpstr>
      <vt:lpstr>Legal and Institutional Approaches to Minority Protection</vt:lpstr>
    </vt:vector>
  </TitlesOfParts>
  <Company>MTA Bölcsészettudományi Kutatóközpont</Company>
  <LinksUpToDate>false</LinksUpToDate>
  <CharactersWithSpaces>45615</CharactersWithSpaces>
  <SharedDoc>false</SharedDoc>
  <HLinks>
    <vt:vector size="168" baseType="variant">
      <vt:variant>
        <vt:i4>3407916</vt:i4>
      </vt:variant>
      <vt:variant>
        <vt:i4>81</vt:i4>
      </vt:variant>
      <vt:variant>
        <vt:i4>0</vt:i4>
      </vt:variant>
      <vt:variant>
        <vt:i4>5</vt:i4>
      </vt:variant>
      <vt:variant>
        <vt:lpwstr>http://www.romea.cz/en/news/world/european-roma-institute-proponents-respond-to-analysis-by-the-european-roma-and-travellers-forum</vt:lpwstr>
      </vt:variant>
      <vt:variant>
        <vt:lpwstr/>
      </vt:variant>
      <vt:variant>
        <vt:i4>7798821</vt:i4>
      </vt:variant>
      <vt:variant>
        <vt:i4>78</vt:i4>
      </vt:variant>
      <vt:variant>
        <vt:i4>0</vt:i4>
      </vt:variant>
      <vt:variant>
        <vt:i4>5</vt:i4>
      </vt:variant>
      <vt:variant>
        <vt:lpwstr>http://www.dw.com/en/world-in-progress-minorities-in-europe/av-18765909</vt:lpwstr>
      </vt:variant>
      <vt:variant>
        <vt:lpwstr/>
      </vt:variant>
      <vt:variant>
        <vt:i4>2424943</vt:i4>
      </vt:variant>
      <vt:variant>
        <vt:i4>75</vt:i4>
      </vt:variant>
      <vt:variant>
        <vt:i4>0</vt:i4>
      </vt:variant>
      <vt:variant>
        <vt:i4>5</vt:i4>
      </vt:variant>
      <vt:variant>
        <vt:lpwstr>http://ccrjustice.org/stopandfrisk</vt:lpwstr>
      </vt:variant>
      <vt:variant>
        <vt:lpwstr/>
      </vt:variant>
      <vt:variant>
        <vt:i4>6750230</vt:i4>
      </vt:variant>
      <vt:variant>
        <vt:i4>72</vt:i4>
      </vt:variant>
      <vt:variant>
        <vt:i4>0</vt:i4>
      </vt:variant>
      <vt:variant>
        <vt:i4>5</vt:i4>
      </vt:variant>
      <vt:variant>
        <vt:lpwstr>http://topics.nytimes.com/top/reference/timestopics/people/e/erik_eckholm/index.html</vt:lpwstr>
      </vt:variant>
      <vt:variant>
        <vt:lpwstr/>
      </vt:variant>
      <vt:variant>
        <vt:i4>196636</vt:i4>
      </vt:variant>
      <vt:variant>
        <vt:i4>69</vt:i4>
      </vt:variant>
      <vt:variant>
        <vt:i4>0</vt:i4>
      </vt:variant>
      <vt:variant>
        <vt:i4>5</vt:i4>
      </vt:variant>
      <vt:variant>
        <vt:lpwstr>http://www.upworthy.com/know-anyone-who-thinks-racial-profiling-is-exaggerated-watch-this-and-tell-me-when-your-jaw-drops</vt:lpwstr>
      </vt:variant>
      <vt:variant>
        <vt:lpwstr/>
      </vt:variant>
      <vt:variant>
        <vt:i4>2424943</vt:i4>
      </vt:variant>
      <vt:variant>
        <vt:i4>66</vt:i4>
      </vt:variant>
      <vt:variant>
        <vt:i4>0</vt:i4>
      </vt:variant>
      <vt:variant>
        <vt:i4>5</vt:i4>
      </vt:variant>
      <vt:variant>
        <vt:lpwstr>http://ccrjustice.org/stopandfrisk</vt:lpwstr>
      </vt:variant>
      <vt:variant>
        <vt:lpwstr/>
      </vt:variant>
      <vt:variant>
        <vt:i4>1900639</vt:i4>
      </vt:variant>
      <vt:variant>
        <vt:i4>63</vt:i4>
      </vt:variant>
      <vt:variant>
        <vt:i4>0</vt:i4>
      </vt:variant>
      <vt:variant>
        <vt:i4>5</vt:i4>
      </vt:variant>
      <vt:variant>
        <vt:lpwstr>http://www.interior.gov/tribes/trace-ancestry.cfm</vt:lpwstr>
      </vt:variant>
      <vt:variant>
        <vt:lpwstr/>
      </vt:variant>
      <vt:variant>
        <vt:i4>4653061</vt:i4>
      </vt:variant>
      <vt:variant>
        <vt:i4>60</vt:i4>
      </vt:variant>
      <vt:variant>
        <vt:i4>0</vt:i4>
      </vt:variant>
      <vt:variant>
        <vt:i4>5</vt:i4>
      </vt:variant>
      <vt:variant>
        <vt:lpwstr>http://www.theguardian.com/world/video/2015/jul/28/native-american-ho-chunk-nation-graduation-18-money-video</vt:lpwstr>
      </vt:variant>
      <vt:variant>
        <vt:lpwstr/>
      </vt:variant>
      <vt:variant>
        <vt:i4>5898358</vt:i4>
      </vt:variant>
      <vt:variant>
        <vt:i4>57</vt:i4>
      </vt:variant>
      <vt:variant>
        <vt:i4>0</vt:i4>
      </vt:variant>
      <vt:variant>
        <vt:i4>5</vt:i4>
      </vt:variant>
      <vt:variant>
        <vt:lpwstr>http://international.westlaw.com/find/default.wl?tf=-1&amp;spa=intceu2-000&amp;rs=WLIN10.10&amp;fn=_top&amp;sv=Split&amp;tc=-1&amp;docname=0322139701&amp;ordoc=0113696822&amp;findtype=h&amp;mt=LawSchoolPractitioner&amp;db=PROFILER-WLD&amp;utid=25&amp;vr=2.0&amp;rp=%2ffind%2fdefault.wl&amp;pbc=131AF0C0</vt:lpwstr>
      </vt:variant>
      <vt:variant>
        <vt:lpwstr/>
      </vt:variant>
      <vt:variant>
        <vt:i4>6225981</vt:i4>
      </vt:variant>
      <vt:variant>
        <vt:i4>54</vt:i4>
      </vt:variant>
      <vt:variant>
        <vt:i4>0</vt:i4>
      </vt:variant>
      <vt:variant>
        <vt:i4>5</vt:i4>
      </vt:variant>
      <vt:variant>
        <vt:lpwstr>http://en.wikipedia.org/wiki/Case_citation</vt:lpwstr>
      </vt:variant>
      <vt:variant>
        <vt:lpwstr/>
      </vt:variant>
      <vt:variant>
        <vt:i4>6225981</vt:i4>
      </vt:variant>
      <vt:variant>
        <vt:i4>51</vt:i4>
      </vt:variant>
      <vt:variant>
        <vt:i4>0</vt:i4>
      </vt:variant>
      <vt:variant>
        <vt:i4>5</vt:i4>
      </vt:variant>
      <vt:variant>
        <vt:lpwstr>http://en.wikipedia.org/wiki/Case_citation</vt:lpwstr>
      </vt:variant>
      <vt:variant>
        <vt:lpwstr/>
      </vt:variant>
      <vt:variant>
        <vt:i4>2228339</vt:i4>
      </vt:variant>
      <vt:variant>
        <vt:i4>48</vt:i4>
      </vt:variant>
      <vt:variant>
        <vt:i4>0</vt:i4>
      </vt:variant>
      <vt:variant>
        <vt:i4>5</vt:i4>
      </vt:variant>
      <vt:variant>
        <vt:lpwstr>http://feministing.com/2015/04/13/intersectional-feminism-brought-to-you-by-pizza/</vt:lpwstr>
      </vt:variant>
      <vt:variant>
        <vt:lpwstr/>
      </vt:variant>
      <vt:variant>
        <vt:i4>2162803</vt:i4>
      </vt:variant>
      <vt:variant>
        <vt:i4>45</vt:i4>
      </vt:variant>
      <vt:variant>
        <vt:i4>0</vt:i4>
      </vt:variant>
      <vt:variant>
        <vt:i4>5</vt:i4>
      </vt:variant>
      <vt:variant>
        <vt:lpwstr>https://www.youtube.com/watch?v=jo4JfbEZACU</vt:lpwstr>
      </vt:variant>
      <vt:variant>
        <vt:lpwstr/>
      </vt:variant>
      <vt:variant>
        <vt:i4>3932244</vt:i4>
      </vt:variant>
      <vt:variant>
        <vt:i4>42</vt:i4>
      </vt:variant>
      <vt:variant>
        <vt:i4>0</vt:i4>
      </vt:variant>
      <vt:variant>
        <vt:i4>5</vt:i4>
      </vt:variant>
      <vt:variant>
        <vt:lpwstr>https://www.nytimes.com/video/us/100000004818663/peanut-butter-jelly-and-racism.html?em_pos=medium&amp;emc=edit_fs_20161219&amp;nl=video&amp;nlid=19539455</vt:lpwstr>
      </vt:variant>
      <vt:variant>
        <vt:lpwstr/>
      </vt:variant>
      <vt:variant>
        <vt:i4>3801182</vt:i4>
      </vt:variant>
      <vt:variant>
        <vt:i4>39</vt:i4>
      </vt:variant>
      <vt:variant>
        <vt:i4>0</vt:i4>
      </vt:variant>
      <vt:variant>
        <vt:i4>5</vt:i4>
      </vt:variant>
      <vt:variant>
        <vt:lpwstr>http://www.errc.org/en-research-and-advocacy-roma-details.php?article_id=2987</vt:lpwstr>
      </vt:variant>
      <vt:variant>
        <vt:lpwstr/>
      </vt:variant>
      <vt:variant>
        <vt:i4>983104</vt:i4>
      </vt:variant>
      <vt:variant>
        <vt:i4>36</vt:i4>
      </vt:variant>
      <vt:variant>
        <vt:i4>0</vt:i4>
      </vt:variant>
      <vt:variant>
        <vt:i4>5</vt:i4>
      </vt:variant>
      <vt:variant>
        <vt:lpwstr>http://www.upworthy.com/the-supreme-court-made-a-stunningly-racist-decision-over-100-years-ago-that-still-affects-us-today?c=upw1&amp;u=eabdac8c4756d059a6bce2bc26e7ff0534b3a300</vt:lpwstr>
      </vt:variant>
      <vt:variant>
        <vt:lpwstr/>
      </vt:variant>
      <vt:variant>
        <vt:i4>2293880</vt:i4>
      </vt:variant>
      <vt:variant>
        <vt:i4>33</vt:i4>
      </vt:variant>
      <vt:variant>
        <vt:i4>0</vt:i4>
      </vt:variant>
      <vt:variant>
        <vt:i4>5</vt:i4>
      </vt:variant>
      <vt:variant>
        <vt:lpwstr>http://www.upworthy.com/know-anyone-who-thinks-racial-profiling-is-exaggerated-watch-this-and-</vt:lpwstr>
      </vt:variant>
      <vt:variant>
        <vt:lpwstr/>
      </vt:variant>
      <vt:variant>
        <vt:i4>2228339</vt:i4>
      </vt:variant>
      <vt:variant>
        <vt:i4>30</vt:i4>
      </vt:variant>
      <vt:variant>
        <vt:i4>0</vt:i4>
      </vt:variant>
      <vt:variant>
        <vt:i4>5</vt:i4>
      </vt:variant>
      <vt:variant>
        <vt:lpwstr>http://feministing.com/2015/04/13/intersectional-feminism-brought-to-you-by-pizza/</vt:lpwstr>
      </vt:variant>
      <vt:variant>
        <vt:lpwstr/>
      </vt:variant>
      <vt:variant>
        <vt:i4>1966172</vt:i4>
      </vt:variant>
      <vt:variant>
        <vt:i4>27</vt:i4>
      </vt:variant>
      <vt:variant>
        <vt:i4>0</vt:i4>
      </vt:variant>
      <vt:variant>
        <vt:i4>5</vt:i4>
      </vt:variant>
      <vt:variant>
        <vt:lpwstr>http://www.eyeworks.tv/catalogue/catalogue_item/t/black_on_white_with_gunter_wallraff</vt:lpwstr>
      </vt:variant>
      <vt:variant>
        <vt:lpwstr/>
      </vt:variant>
      <vt:variant>
        <vt:i4>2752555</vt:i4>
      </vt:variant>
      <vt:variant>
        <vt:i4>24</vt:i4>
      </vt:variant>
      <vt:variant>
        <vt:i4>0</vt:i4>
      </vt:variant>
      <vt:variant>
        <vt:i4>5</vt:i4>
      </vt:variant>
      <vt:variant>
        <vt:lpwstr>http://www.pbs.org/wgbh/pages/frontline/video/flv/generic.html?s=frol02s42cq66&amp;continuous=1</vt:lpwstr>
      </vt:variant>
      <vt:variant>
        <vt:lpwstr/>
      </vt:variant>
      <vt:variant>
        <vt:i4>5898324</vt:i4>
      </vt:variant>
      <vt:variant>
        <vt:i4>21</vt:i4>
      </vt:variant>
      <vt:variant>
        <vt:i4>0</vt:i4>
      </vt:variant>
      <vt:variant>
        <vt:i4>5</vt:i4>
      </vt:variant>
      <vt:variant>
        <vt:lpwstr>http://www.un.org/womenwatch/daw/cedaw/cedaw.htm</vt:lpwstr>
      </vt:variant>
      <vt:variant>
        <vt:lpwstr/>
      </vt:variant>
      <vt:variant>
        <vt:i4>3539036</vt:i4>
      </vt:variant>
      <vt:variant>
        <vt:i4>18</vt:i4>
      </vt:variant>
      <vt:variant>
        <vt:i4>0</vt:i4>
      </vt:variant>
      <vt:variant>
        <vt:i4>5</vt:i4>
      </vt:variant>
      <vt:variant>
        <vt:lpwstr>https://en.wikipedia.org/wiki/Convention_on_the_Rights_of_Persons_with_Disabilities</vt:lpwstr>
      </vt:variant>
      <vt:variant>
        <vt:lpwstr/>
      </vt:variant>
      <vt:variant>
        <vt:i4>1769545</vt:i4>
      </vt:variant>
      <vt:variant>
        <vt:i4>15</vt:i4>
      </vt:variant>
      <vt:variant>
        <vt:i4>0</vt:i4>
      </vt:variant>
      <vt:variant>
        <vt:i4>5</vt:i4>
      </vt:variant>
      <vt:variant>
        <vt:lpwstr>https://en.wikipedia.org/wiki/The_Yogyakarta_Principles</vt:lpwstr>
      </vt:variant>
      <vt:variant>
        <vt:lpwstr/>
      </vt:variant>
      <vt:variant>
        <vt:i4>6029432</vt:i4>
      </vt:variant>
      <vt:variant>
        <vt:i4>12</vt:i4>
      </vt:variant>
      <vt:variant>
        <vt:i4>0</vt:i4>
      </vt:variant>
      <vt:variant>
        <vt:i4>5</vt:i4>
      </vt:variant>
      <vt:variant>
        <vt:lpwstr>http://www.coe.int/t/dg4/education/minlang/default_en.asp</vt:lpwstr>
      </vt:variant>
      <vt:variant>
        <vt:lpwstr/>
      </vt:variant>
      <vt:variant>
        <vt:i4>5898324</vt:i4>
      </vt:variant>
      <vt:variant>
        <vt:i4>9</vt:i4>
      </vt:variant>
      <vt:variant>
        <vt:i4>0</vt:i4>
      </vt:variant>
      <vt:variant>
        <vt:i4>5</vt:i4>
      </vt:variant>
      <vt:variant>
        <vt:lpwstr>http://www.un.org/womenwatch/daw/cedaw/cedaw.htm</vt:lpwstr>
      </vt:variant>
      <vt:variant>
        <vt:lpwstr/>
      </vt:variant>
      <vt:variant>
        <vt:i4>3539036</vt:i4>
      </vt:variant>
      <vt:variant>
        <vt:i4>6</vt:i4>
      </vt:variant>
      <vt:variant>
        <vt:i4>0</vt:i4>
      </vt:variant>
      <vt:variant>
        <vt:i4>5</vt:i4>
      </vt:variant>
      <vt:variant>
        <vt:lpwstr>https://en.wikipedia.org/wiki/Convention_on_the_Rights_of_Persons_with_Disabilities</vt:lpwstr>
      </vt:variant>
      <vt:variant>
        <vt:lpwstr/>
      </vt:variant>
      <vt:variant>
        <vt:i4>1769545</vt:i4>
      </vt:variant>
      <vt:variant>
        <vt:i4>3</vt:i4>
      </vt:variant>
      <vt:variant>
        <vt:i4>0</vt:i4>
      </vt:variant>
      <vt:variant>
        <vt:i4>5</vt:i4>
      </vt:variant>
      <vt:variant>
        <vt:lpwstr>https://en.wikipedia.org/wiki/The_Yogyakarta_Principles</vt:lpwstr>
      </vt:variant>
      <vt:variant>
        <vt:lpwstr/>
      </vt:variant>
      <vt:variant>
        <vt:i4>6029432</vt:i4>
      </vt:variant>
      <vt:variant>
        <vt:i4>0</vt:i4>
      </vt:variant>
      <vt:variant>
        <vt:i4>0</vt:i4>
      </vt:variant>
      <vt:variant>
        <vt:i4>5</vt:i4>
      </vt:variant>
      <vt:variant>
        <vt:lpwstr>http://www.coe.int/t/dg4/education/minlang/default_en.asp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Institutional Approaches to Minority Protection</dc:title>
  <dc:subject/>
  <dc:creator>User</dc:creator>
  <cp:keywords/>
  <cp:lastModifiedBy>Pap András</cp:lastModifiedBy>
  <cp:revision>2</cp:revision>
  <cp:lastPrinted>2016-11-30T12:20:00Z</cp:lastPrinted>
  <dcterms:created xsi:type="dcterms:W3CDTF">2023-08-25T20:24:00Z</dcterms:created>
  <dcterms:modified xsi:type="dcterms:W3CDTF">2023-08-25T20:24:00Z</dcterms:modified>
</cp:coreProperties>
</file>