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6C6F" w14:textId="77777777" w:rsidR="005D4A1B" w:rsidRDefault="00000000">
      <w:pPr>
        <w:pStyle w:val="NormalWeb"/>
        <w:spacing w:before="0" w:after="0"/>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Economic Analysis for Public Policy I</w:t>
      </w:r>
    </w:p>
    <w:p w14:paraId="0CD4C49B" w14:textId="77777777" w:rsidR="005D4A1B" w:rsidRDefault="005D4A1B">
      <w:pPr>
        <w:jc w:val="both"/>
      </w:pPr>
    </w:p>
    <w:p w14:paraId="59871F76" w14:textId="77777777" w:rsidR="005D4A1B" w:rsidRDefault="00000000">
      <w:pPr>
        <w:pStyle w:val="Heading1"/>
        <w:rPr>
          <w:sz w:val="24"/>
          <w:szCs w:val="24"/>
        </w:rPr>
      </w:pPr>
      <w:r>
        <w:rPr>
          <w:sz w:val="24"/>
          <w:szCs w:val="24"/>
        </w:rPr>
        <w:t>Instructor:</w:t>
      </w:r>
    </w:p>
    <w:p w14:paraId="2FCED1B4" w14:textId="77777777" w:rsidR="005D4A1B" w:rsidRDefault="00000000">
      <w:pPr>
        <w:pStyle w:val="PlainText"/>
        <w:rPr>
          <w:rFonts w:ascii="Times New Roman" w:eastAsia="Times New Roman" w:hAnsi="Times New Roman" w:cs="Times New Roman"/>
          <w:sz w:val="24"/>
          <w:szCs w:val="24"/>
        </w:rPr>
      </w:pPr>
      <w:r>
        <w:rPr>
          <w:rFonts w:ascii="Times New Roman" w:hAnsi="Times New Roman"/>
          <w:sz w:val="24"/>
          <w:szCs w:val="24"/>
        </w:rPr>
        <w:t>Michal Dorsch, (MD), dorschm@ceu.edu</w:t>
      </w:r>
    </w:p>
    <w:p w14:paraId="2C4FA615" w14:textId="77777777" w:rsidR="005D4A1B" w:rsidRDefault="00000000">
      <w:pPr>
        <w:pStyle w:val="PlainText"/>
        <w:rPr>
          <w:rFonts w:ascii="Times New Roman" w:eastAsia="Times New Roman" w:hAnsi="Times New Roman" w:cs="Times New Roman"/>
          <w:sz w:val="24"/>
          <w:szCs w:val="24"/>
        </w:rPr>
      </w:pPr>
      <w:r>
        <w:rPr>
          <w:rFonts w:ascii="Times New Roman" w:hAnsi="Times New Roman"/>
          <w:sz w:val="24"/>
          <w:szCs w:val="24"/>
        </w:rPr>
        <w:t xml:space="preserve">Martin Kahanec, (MK), </w:t>
      </w:r>
      <w:r>
        <w:rPr>
          <w:rStyle w:val="Hyperlink0"/>
          <w:rFonts w:eastAsia="Arial Unicode MS"/>
        </w:rPr>
        <w:fldChar w:fldCharType="begin"/>
      </w:r>
      <w:r>
        <w:rPr>
          <w:rStyle w:val="Hyperlink0"/>
          <w:rFonts w:eastAsia="Arial Unicode MS"/>
        </w:rPr>
        <w:instrText xml:space="preserve"> HYPERLINK "mailto:KahanecM@ceu.edu"</w:instrText>
      </w:r>
      <w:r>
        <w:rPr>
          <w:rStyle w:val="Hyperlink0"/>
          <w:rFonts w:eastAsia="Arial Unicode MS"/>
        </w:rPr>
        <w:fldChar w:fldCharType="separate"/>
      </w:r>
      <w:r>
        <w:rPr>
          <w:rStyle w:val="Hyperlink0"/>
          <w:rFonts w:eastAsia="Arial Unicode MS"/>
        </w:rPr>
        <w:t>KahanecM@ceu.edu</w:t>
      </w:r>
      <w:r>
        <w:fldChar w:fldCharType="end"/>
      </w:r>
    </w:p>
    <w:p w14:paraId="06A3363E" w14:textId="77777777" w:rsidR="005D4A1B" w:rsidRDefault="005D4A1B">
      <w:pPr>
        <w:jc w:val="both"/>
      </w:pPr>
    </w:p>
    <w:p w14:paraId="3E64AE5B" w14:textId="77777777" w:rsidR="005D4A1B" w:rsidRDefault="00000000">
      <w:pPr>
        <w:pStyle w:val="PlainText"/>
        <w:rPr>
          <w:rFonts w:ascii="Times New Roman" w:eastAsia="Times New Roman" w:hAnsi="Times New Roman" w:cs="Times New Roman"/>
          <w:sz w:val="24"/>
          <w:szCs w:val="24"/>
        </w:rPr>
      </w:pPr>
      <w:r>
        <w:rPr>
          <w:rFonts w:ascii="Times New Roman" w:hAnsi="Times New Roman"/>
          <w:b/>
          <w:bCs/>
          <w:sz w:val="24"/>
          <w:szCs w:val="24"/>
        </w:rPr>
        <w:t>Teaching assistant</w:t>
      </w:r>
      <w:r>
        <w:rPr>
          <w:rFonts w:ascii="Times New Roman" w:hAnsi="Times New Roman"/>
          <w:sz w:val="24"/>
          <w:szCs w:val="24"/>
        </w:rPr>
        <w:t>: Nu Thuy Duong Ton</w:t>
      </w:r>
      <w:r>
        <w:rPr>
          <w:rFonts w:ascii="Times New Roman" w:hAnsi="Times New Roman"/>
          <w:sz w:val="24"/>
          <w:szCs w:val="24"/>
          <w:lang w:val="en-US"/>
        </w:rPr>
        <w:t xml:space="preserve"> (DT)</w:t>
      </w:r>
    </w:p>
    <w:p w14:paraId="3781BDFD" w14:textId="77777777" w:rsidR="005D4A1B" w:rsidRDefault="005D4A1B">
      <w:pPr>
        <w:pStyle w:val="PlainText"/>
        <w:rPr>
          <w:rFonts w:ascii="Times New Roman" w:eastAsia="Times New Roman" w:hAnsi="Times New Roman" w:cs="Times New Roman"/>
          <w:sz w:val="24"/>
          <w:szCs w:val="24"/>
        </w:rPr>
      </w:pPr>
    </w:p>
    <w:p w14:paraId="07626017" w14:textId="77777777" w:rsidR="005D4A1B" w:rsidRDefault="005D4A1B">
      <w:pPr>
        <w:pStyle w:val="PlainText"/>
        <w:rPr>
          <w:rFonts w:ascii="Times New Roman" w:eastAsia="Times New Roman" w:hAnsi="Times New Roman" w:cs="Times New Roman"/>
          <w:sz w:val="24"/>
          <w:szCs w:val="24"/>
        </w:rPr>
      </w:pPr>
    </w:p>
    <w:p w14:paraId="640D0947" w14:textId="77777777" w:rsidR="005D4A1B" w:rsidRDefault="00000000">
      <w:pPr>
        <w:pStyle w:val="PlainText"/>
        <w:rPr>
          <w:rFonts w:ascii="Times New Roman" w:eastAsia="Times New Roman" w:hAnsi="Times New Roman" w:cs="Times New Roman"/>
          <w:sz w:val="24"/>
          <w:szCs w:val="24"/>
        </w:rPr>
      </w:pPr>
      <w:r>
        <w:rPr>
          <w:rFonts w:ascii="Times New Roman" w:hAnsi="Times New Roman"/>
          <w:b/>
          <w:bCs/>
          <w:sz w:val="24"/>
          <w:szCs w:val="24"/>
        </w:rPr>
        <w:t>Office hours:</w:t>
      </w:r>
      <w:r>
        <w:rPr>
          <w:rFonts w:ascii="Times New Roman" w:hAnsi="Times New Roman"/>
          <w:sz w:val="24"/>
          <w:szCs w:val="24"/>
        </w:rPr>
        <w:t xml:space="preserve"> </w:t>
      </w:r>
    </w:p>
    <w:p w14:paraId="6329C81A" w14:textId="77777777" w:rsidR="005D4A1B" w:rsidRDefault="00000000">
      <w:pPr>
        <w:pStyle w:val="NormalWeb"/>
        <w:spacing w:before="0" w:after="0"/>
        <w:jc w:val="both"/>
        <w:rPr>
          <w:rFonts w:ascii="Times New Roman" w:eastAsia="Times New Roman" w:hAnsi="Times New Roman" w:cs="Times New Roman"/>
        </w:rPr>
      </w:pPr>
      <w:r>
        <w:rPr>
          <w:rFonts w:ascii="Times New Roman" w:hAnsi="Times New Roman"/>
        </w:rPr>
        <w:t>MK: Tuesdays, 4-5pm</w:t>
      </w:r>
    </w:p>
    <w:p w14:paraId="54EE6915" w14:textId="77777777" w:rsidR="005D4A1B" w:rsidRDefault="00000000">
      <w:pPr>
        <w:pStyle w:val="NormalWeb"/>
        <w:spacing w:before="0" w:after="0"/>
        <w:jc w:val="both"/>
        <w:rPr>
          <w:rFonts w:ascii="Times New Roman" w:eastAsia="Times New Roman" w:hAnsi="Times New Roman" w:cs="Times New Roman"/>
        </w:rPr>
      </w:pPr>
      <w:r>
        <w:rPr>
          <w:rFonts w:ascii="Times New Roman" w:hAnsi="Times New Roman"/>
          <w:lang w:val="en-US"/>
        </w:rPr>
        <w:t>MD</w:t>
      </w:r>
      <w:r>
        <w:rPr>
          <w:rFonts w:ascii="Times New Roman" w:hAnsi="Times New Roman"/>
        </w:rPr>
        <w:t xml:space="preserve">: </w:t>
      </w:r>
    </w:p>
    <w:p w14:paraId="59422A16" w14:textId="77777777" w:rsidR="005D4A1B" w:rsidRDefault="00000000">
      <w:pPr>
        <w:pStyle w:val="NormalWeb"/>
        <w:spacing w:before="0" w:after="0"/>
        <w:jc w:val="both"/>
        <w:rPr>
          <w:rFonts w:ascii="Times New Roman" w:eastAsia="Times New Roman" w:hAnsi="Times New Roman" w:cs="Times New Roman"/>
        </w:rPr>
      </w:pPr>
      <w:r>
        <w:rPr>
          <w:rFonts w:ascii="Times New Roman" w:hAnsi="Times New Roman"/>
          <w:lang w:val="en-US"/>
        </w:rPr>
        <w:t>DT</w:t>
      </w:r>
      <w:r>
        <w:rPr>
          <w:rFonts w:ascii="Times New Roman" w:hAnsi="Times New Roman"/>
        </w:rPr>
        <w:t>: tba</w:t>
      </w:r>
    </w:p>
    <w:p w14:paraId="5A557791" w14:textId="77777777" w:rsidR="005D4A1B" w:rsidRDefault="005D4A1B">
      <w:pPr>
        <w:pStyle w:val="NormalWeb"/>
        <w:spacing w:before="0" w:after="0"/>
        <w:jc w:val="both"/>
        <w:rPr>
          <w:rFonts w:ascii="Times New Roman" w:eastAsia="Times New Roman" w:hAnsi="Times New Roman" w:cs="Times New Roman"/>
        </w:rPr>
      </w:pPr>
    </w:p>
    <w:p w14:paraId="1BD8CCE5" w14:textId="77777777" w:rsidR="005D4A1B" w:rsidRDefault="00000000">
      <w:pPr>
        <w:pStyle w:val="NormalWeb"/>
        <w:spacing w:before="0" w:after="0"/>
        <w:jc w:val="both"/>
        <w:rPr>
          <w:rStyle w:val="Strong"/>
        </w:rPr>
      </w:pPr>
      <w:r>
        <w:rPr>
          <w:rStyle w:val="Strong"/>
        </w:rPr>
        <w:t>Course description</w:t>
      </w:r>
    </w:p>
    <w:p w14:paraId="67393126" w14:textId="77777777" w:rsidR="005D4A1B" w:rsidRDefault="00000000">
      <w:pPr>
        <w:pStyle w:val="NormalWeb"/>
        <w:spacing w:before="0" w:after="0"/>
        <w:jc w:val="both"/>
        <w:rPr>
          <w:rFonts w:ascii="Times New Roman" w:eastAsia="Times New Roman" w:hAnsi="Times New Roman" w:cs="Times New Roman"/>
        </w:rPr>
      </w:pPr>
      <w:r>
        <w:rPr>
          <w:rFonts w:ascii="Times New Roman" w:hAnsi="Times New Roman"/>
        </w:rPr>
        <w:t>Macroeconomics is a branch of Economics that studies the performance, structure, and behavior of a national or supra-national (e.g. EU) economy as a whole. Macroeconomic developments are a central theme of policy debate around the globe. This course provides a sound understanding of macroeconomics for students wishing to become proficient civil servants, policy experts, or analysts in the field of public policy. It will equip the students with an analytical toolset enabling them to understand and study macroeconomic processes, relationships between aggregate economic variables, as well as the organization of the financial sector and national accounts. Throughout the course, specific public policy issues will be studied with the objective to motivate and demonstrate the pertinence of macroeconomic analysis for sound public policy making. This approach will provide the students with a broad understanding of macroeconomic principles as well as enable them to profoundly analyze specific macroeconomic policy issues, such as fiscal and monetary policy, stabilization policy, unemployment, inflation, or economic growth. Considerable effort will be made to make the material accessible to students with diverse backgrounds</w:t>
      </w:r>
      <w:r>
        <w:rPr>
          <w:rFonts w:ascii="Times New Roman" w:hAnsi="Times New Roman"/>
          <w:lang w:val="en-US"/>
        </w:rPr>
        <w:t xml:space="preserve"> and without prior knowledge of economics</w:t>
      </w:r>
      <w:r>
        <w:rPr>
          <w:rFonts w:ascii="Times New Roman" w:hAnsi="Times New Roman"/>
        </w:rPr>
        <w:t xml:space="preserve">. </w:t>
      </w:r>
    </w:p>
    <w:p w14:paraId="181F7558" w14:textId="77777777" w:rsidR="005D4A1B" w:rsidRDefault="005D4A1B">
      <w:pPr>
        <w:pStyle w:val="NormalWeb"/>
        <w:spacing w:before="0" w:after="0"/>
        <w:jc w:val="both"/>
        <w:rPr>
          <w:rFonts w:ascii="Times New Roman" w:eastAsia="Times New Roman" w:hAnsi="Times New Roman" w:cs="Times New Roman"/>
        </w:rPr>
      </w:pPr>
    </w:p>
    <w:p w14:paraId="09E57216" w14:textId="77777777" w:rsidR="005D4A1B" w:rsidRDefault="00000000">
      <w:pPr>
        <w:pStyle w:val="NormalWeb"/>
        <w:spacing w:before="0" w:after="0"/>
        <w:jc w:val="both"/>
        <w:rPr>
          <w:rStyle w:val="Strong"/>
        </w:rPr>
      </w:pPr>
      <w:r>
        <w:rPr>
          <w:rStyle w:val="Strong"/>
        </w:rPr>
        <w:t>Objectives and outcomes</w:t>
      </w:r>
    </w:p>
    <w:p w14:paraId="4256638C" w14:textId="77777777" w:rsidR="005D4A1B" w:rsidRDefault="00000000">
      <w:pPr>
        <w:pStyle w:val="NormalWeb"/>
        <w:spacing w:before="0" w:after="0"/>
        <w:jc w:val="both"/>
        <w:rPr>
          <w:rFonts w:ascii="Times New Roman" w:eastAsia="Times New Roman" w:hAnsi="Times New Roman" w:cs="Times New Roman"/>
        </w:rPr>
      </w:pPr>
      <w:r>
        <w:rPr>
          <w:rFonts w:ascii="Times New Roman" w:hAnsi="Times New Roman"/>
        </w:rPr>
        <w:t>The course fosters a comprehensive understanding of macroeconomic principles and their repercussions for sound policy making. By the end of the course, a successful student will be equipped with an effective toolset to analyze public policy issues and proposals from the macroeconomic perspective. Students shall improve their analytical and argumentative skills through interactive lectures fostering theoretical skills as well as their policy applications through in-class policy debates.</w:t>
      </w:r>
    </w:p>
    <w:p w14:paraId="0735DC7C" w14:textId="77777777" w:rsidR="005D4A1B" w:rsidRDefault="005D4A1B">
      <w:pPr>
        <w:pStyle w:val="NormalWeb"/>
        <w:spacing w:before="0" w:after="0"/>
        <w:jc w:val="both"/>
        <w:rPr>
          <w:rFonts w:ascii="Times New Roman" w:eastAsia="Times New Roman" w:hAnsi="Times New Roman" w:cs="Times New Roman"/>
        </w:rPr>
      </w:pPr>
    </w:p>
    <w:p w14:paraId="385846BB" w14:textId="77777777" w:rsidR="005D4A1B" w:rsidRDefault="00000000">
      <w:pPr>
        <w:pStyle w:val="Heading1"/>
        <w:rPr>
          <w:sz w:val="24"/>
          <w:szCs w:val="24"/>
        </w:rPr>
      </w:pPr>
      <w:r>
        <w:rPr>
          <w:sz w:val="24"/>
          <w:szCs w:val="24"/>
        </w:rPr>
        <w:t>Course Readings</w:t>
      </w:r>
    </w:p>
    <w:p w14:paraId="2D9E4AED" w14:textId="77777777" w:rsidR="005D4A1B" w:rsidRDefault="005D4A1B"/>
    <w:p w14:paraId="2CAD3B84" w14:textId="77777777" w:rsidR="005D4A1B" w:rsidRDefault="00000000">
      <w:bookmarkStart w:id="0" w:name="OLE_LINK1"/>
      <w:r>
        <w:rPr>
          <w:rStyle w:val="PageNumber"/>
          <w:rFonts w:eastAsia="Arial Unicode MS" w:cs="Arial Unicode MS"/>
        </w:rPr>
        <w:t>R</w:t>
      </w:r>
      <w:bookmarkStart w:id="1" w:name="OLE_LINK2"/>
      <w:bookmarkEnd w:id="0"/>
      <w:r>
        <w:rPr>
          <w:rStyle w:val="PageNumber"/>
          <w:rFonts w:eastAsia="Arial Unicode MS" w:cs="Arial Unicode MS"/>
        </w:rPr>
        <w:t>equired readings for all students are primarily based on:</w:t>
      </w:r>
    </w:p>
    <w:p w14:paraId="0CD1137E" w14:textId="77777777" w:rsidR="005D4A1B" w:rsidRDefault="00000000">
      <w:pPr>
        <w:pStyle w:val="NormalWeb"/>
        <w:numPr>
          <w:ilvl w:val="0"/>
          <w:numId w:val="2"/>
        </w:numPr>
        <w:spacing w:before="0" w:after="0"/>
        <w:jc w:val="both"/>
        <w:rPr>
          <w:rFonts w:ascii="Times New Roman" w:hAnsi="Times New Roman"/>
          <w:sz w:val="22"/>
          <w:szCs w:val="22"/>
        </w:rPr>
      </w:pPr>
      <w:r>
        <w:rPr>
          <w:rStyle w:val="PageNumber"/>
          <w:rFonts w:ascii="Times New Roman" w:hAnsi="Times New Roman"/>
          <w:sz w:val="22"/>
          <w:szCs w:val="22"/>
        </w:rPr>
        <w:t>Mankiw, N. Gregory. Macroeconomics, Worth Publisher, 6</w:t>
      </w:r>
      <w:r>
        <w:rPr>
          <w:rFonts w:ascii="Times New Roman" w:hAnsi="Times New Roman"/>
          <w:sz w:val="22"/>
          <w:szCs w:val="22"/>
          <w:vertAlign w:val="superscript"/>
        </w:rPr>
        <w:t>th</w:t>
      </w:r>
      <w:r>
        <w:rPr>
          <w:rStyle w:val="PageNumber"/>
          <w:rFonts w:ascii="Times New Roman" w:hAnsi="Times New Roman"/>
          <w:sz w:val="22"/>
          <w:szCs w:val="22"/>
        </w:rPr>
        <w:t xml:space="preserve"> or later edition </w:t>
      </w:r>
      <w:r>
        <w:rPr>
          <w:rFonts w:ascii="Times New Roman" w:hAnsi="Times New Roman"/>
        </w:rPr>
        <w:t>(hereafter Mankiw)</w:t>
      </w:r>
    </w:p>
    <w:p w14:paraId="4BE588C3" w14:textId="77777777" w:rsidR="005D4A1B" w:rsidRDefault="00000000">
      <w:pPr>
        <w:numPr>
          <w:ilvl w:val="0"/>
          <w:numId w:val="3"/>
        </w:numPr>
      </w:pPr>
      <w:r>
        <w:rPr>
          <w:rStyle w:val="PageNumber"/>
        </w:rPr>
        <w:t>Lecture notes (including any material not covered in GM or CORE)</w:t>
      </w:r>
    </w:p>
    <w:p w14:paraId="3FBC7F53" w14:textId="77777777" w:rsidR="005D4A1B" w:rsidRDefault="005D4A1B"/>
    <w:p w14:paraId="3D6D6EDD" w14:textId="77777777" w:rsidR="005D4A1B" w:rsidRDefault="00000000">
      <w:pPr>
        <w:pStyle w:val="NormalWeb"/>
        <w:spacing w:before="0" w:after="0"/>
        <w:jc w:val="both"/>
        <w:rPr>
          <w:rFonts w:ascii="Times New Roman" w:eastAsia="Times New Roman" w:hAnsi="Times New Roman" w:cs="Times New Roman"/>
          <w:sz w:val="22"/>
          <w:szCs w:val="22"/>
        </w:rPr>
      </w:pPr>
      <w:r>
        <w:rPr>
          <w:rFonts w:ascii="Times New Roman" w:hAnsi="Times New Roman"/>
        </w:rPr>
        <w:lastRenderedPageBreak/>
        <w:t>Supplementary material for advanced students (not required):</w:t>
      </w:r>
      <w:r>
        <w:rPr>
          <w:rFonts w:ascii="Times New Roman" w:hAnsi="Times New Roman"/>
          <w:sz w:val="22"/>
          <w:szCs w:val="22"/>
        </w:rPr>
        <w:t xml:space="preserve"> </w:t>
      </w:r>
    </w:p>
    <w:p w14:paraId="2A42FAB7" w14:textId="77777777" w:rsidR="005D4A1B" w:rsidRDefault="00000000">
      <w:hyperlink r:id="rId7" w:history="1">
        <w:r>
          <w:rPr>
            <w:rStyle w:val="Link"/>
            <w:rFonts w:eastAsia="Arial Unicode MS" w:cs="Arial Unicode MS"/>
          </w:rPr>
          <w:t>http://core-econ.org/</w:t>
        </w:r>
      </w:hyperlink>
      <w:r>
        <w:rPr>
          <w:rStyle w:val="PageNumber"/>
          <w:rFonts w:eastAsia="Arial Unicode MS" w:cs="Arial Unicode MS"/>
        </w:rPr>
        <w:t xml:space="preserve">  </w:t>
      </w:r>
    </w:p>
    <w:p w14:paraId="6698FD91" w14:textId="77777777" w:rsidR="005D4A1B" w:rsidRDefault="00000000">
      <w:pPr>
        <w:pStyle w:val="NormalWeb"/>
        <w:spacing w:before="0" w:after="0"/>
        <w:jc w:val="both"/>
        <w:rPr>
          <w:rFonts w:ascii="Times New Roman" w:eastAsia="Times New Roman" w:hAnsi="Times New Roman" w:cs="Times New Roman"/>
          <w:sz w:val="22"/>
          <w:szCs w:val="22"/>
        </w:rPr>
      </w:pPr>
      <w:r>
        <w:rPr>
          <w:rFonts w:ascii="Times New Roman" w:hAnsi="Times New Roman"/>
          <w:sz w:val="22"/>
          <w:szCs w:val="22"/>
        </w:rPr>
        <w:t>Miles, David and Andrew Scott, 2004. Macroeconomics: Understanding the Wealth of Nations, John Wiley and Sons, 2nd edition</w:t>
      </w:r>
    </w:p>
    <w:p w14:paraId="1644A1A2" w14:textId="77777777" w:rsidR="005D4A1B" w:rsidRDefault="00000000">
      <w:pPr>
        <w:pStyle w:val="NormalWeb"/>
        <w:spacing w:before="0" w:after="0"/>
        <w:jc w:val="both"/>
        <w:rPr>
          <w:rFonts w:ascii="Times New Roman" w:eastAsia="Times New Roman" w:hAnsi="Times New Roman" w:cs="Times New Roman"/>
          <w:sz w:val="22"/>
          <w:szCs w:val="22"/>
        </w:rPr>
      </w:pPr>
      <w:r>
        <w:rPr>
          <w:rFonts w:ascii="Times New Roman" w:hAnsi="Times New Roman"/>
          <w:sz w:val="22"/>
          <w:szCs w:val="22"/>
        </w:rPr>
        <w:t>Borjas, George, 2008. Labor Economics, McGraw-Hill, 4</w:t>
      </w:r>
      <w:r>
        <w:rPr>
          <w:rFonts w:ascii="Times New Roman" w:hAnsi="Times New Roman"/>
          <w:sz w:val="22"/>
          <w:szCs w:val="22"/>
          <w:vertAlign w:val="superscript"/>
        </w:rPr>
        <w:t>th</w:t>
      </w:r>
      <w:r>
        <w:rPr>
          <w:rFonts w:ascii="Times New Roman" w:hAnsi="Times New Roman"/>
          <w:sz w:val="22"/>
          <w:szCs w:val="22"/>
        </w:rPr>
        <w:t xml:space="preserve"> edition</w:t>
      </w:r>
    </w:p>
    <w:p w14:paraId="61F9844A" w14:textId="77777777" w:rsidR="005D4A1B" w:rsidRDefault="00000000">
      <w:pPr>
        <w:pStyle w:val="NormalWeb"/>
        <w:spacing w:before="0" w:after="0"/>
        <w:jc w:val="both"/>
        <w:rPr>
          <w:rFonts w:ascii="Times New Roman" w:eastAsia="Times New Roman" w:hAnsi="Times New Roman" w:cs="Times New Roman"/>
          <w:sz w:val="22"/>
          <w:szCs w:val="22"/>
        </w:rPr>
      </w:pPr>
      <w:r>
        <w:rPr>
          <w:rFonts w:ascii="Times New Roman" w:hAnsi="Times New Roman"/>
          <w:sz w:val="22"/>
          <w:szCs w:val="22"/>
        </w:rPr>
        <w:t>and a selection of articles to be announced.</w:t>
      </w:r>
    </w:p>
    <w:bookmarkEnd w:id="1"/>
    <w:p w14:paraId="3C54ECD1" w14:textId="77777777" w:rsidR="005D4A1B" w:rsidRDefault="005D4A1B"/>
    <w:p w14:paraId="210DD0EA" w14:textId="432F2D2F" w:rsidR="005D4A1B" w:rsidRDefault="000649B9">
      <w:pPr>
        <w:rPr>
          <w:sz w:val="22"/>
          <w:szCs w:val="22"/>
        </w:rPr>
      </w:pPr>
      <w:r>
        <w:rPr>
          <w:rStyle w:val="PageNumber"/>
          <w:rFonts w:eastAsia="Arial Unicode MS" w:cs="Arial Unicode MS"/>
          <w:lang w:val="en-US"/>
        </w:rPr>
        <w:t xml:space="preserve">GM is available online. </w:t>
      </w:r>
      <w:r w:rsidR="00000000">
        <w:rPr>
          <w:rStyle w:val="PageNumber"/>
          <w:rFonts w:eastAsia="Arial Unicode MS" w:cs="Arial Unicode MS"/>
        </w:rPr>
        <w:t xml:space="preserve">CORE material is available upon registration at </w:t>
      </w:r>
      <w:r w:rsidR="00000000">
        <w:rPr>
          <w:rStyle w:val="Link"/>
        </w:rPr>
        <w:fldChar w:fldCharType="begin"/>
      </w:r>
      <w:r w:rsidR="00000000">
        <w:rPr>
          <w:rStyle w:val="Link"/>
        </w:rPr>
        <w:instrText xml:space="preserve"> HYPERLINK "http://core-econ.org/"</w:instrText>
      </w:r>
      <w:r w:rsidR="00000000">
        <w:rPr>
          <w:rStyle w:val="Link"/>
        </w:rPr>
        <w:fldChar w:fldCharType="separate"/>
      </w:r>
      <w:r w:rsidR="00000000">
        <w:rPr>
          <w:rStyle w:val="Link"/>
          <w:rFonts w:eastAsia="Arial Unicode MS" w:cs="Arial Unicode MS"/>
        </w:rPr>
        <w:t>http://core-econ.org/</w:t>
      </w:r>
      <w:r w:rsidR="00000000">
        <w:fldChar w:fldCharType="end"/>
      </w:r>
      <w:r w:rsidR="00000000">
        <w:rPr>
          <w:rStyle w:val="PageNumber"/>
          <w:rFonts w:eastAsia="Arial Unicode MS" w:cs="Arial Unicode MS"/>
        </w:rPr>
        <w:t xml:space="preserve">. </w:t>
      </w:r>
      <w:r>
        <w:rPr>
          <w:rStyle w:val="PageNumber"/>
          <w:rFonts w:eastAsia="Arial Unicode MS" w:cs="Arial Unicode MS"/>
          <w:lang w:val="en-US"/>
        </w:rPr>
        <w:t>Many</w:t>
      </w:r>
      <w:r w:rsidR="00000000">
        <w:rPr>
          <w:rStyle w:val="PageNumber"/>
          <w:rFonts w:eastAsia="Arial Unicode MS" w:cs="Arial Unicode MS"/>
        </w:rPr>
        <w:t xml:space="preserve"> copies of the </w:t>
      </w:r>
      <w:r>
        <w:rPr>
          <w:rStyle w:val="PageNumber"/>
          <w:rFonts w:eastAsia="Arial Unicode MS" w:cs="Arial Unicode MS"/>
          <w:lang w:val="en-US"/>
        </w:rPr>
        <w:t>GM</w:t>
      </w:r>
      <w:r w:rsidR="00000000">
        <w:rPr>
          <w:rStyle w:val="PageNumber"/>
          <w:rFonts w:eastAsia="Arial Unicode MS" w:cs="Arial Unicode MS"/>
        </w:rPr>
        <w:t xml:space="preserve"> book</w:t>
      </w:r>
      <w:r>
        <w:rPr>
          <w:rStyle w:val="PageNumber"/>
          <w:rFonts w:eastAsia="Arial Unicode MS" w:cs="Arial Unicode MS"/>
          <w:lang w:val="en-US"/>
        </w:rPr>
        <w:t xml:space="preserve"> (6</w:t>
      </w:r>
      <w:r w:rsidRPr="000649B9">
        <w:rPr>
          <w:rStyle w:val="PageNumber"/>
          <w:rFonts w:eastAsia="Arial Unicode MS" w:cs="Arial Unicode MS"/>
          <w:vertAlign w:val="superscript"/>
          <w:lang w:val="en-US"/>
        </w:rPr>
        <w:t>th</w:t>
      </w:r>
      <w:r>
        <w:rPr>
          <w:rStyle w:val="PageNumber"/>
          <w:rFonts w:eastAsia="Arial Unicode MS" w:cs="Arial Unicode MS"/>
          <w:lang w:val="en-US"/>
        </w:rPr>
        <w:t xml:space="preserve"> edition, though)</w:t>
      </w:r>
      <w:r w:rsidR="00000000">
        <w:rPr>
          <w:rStyle w:val="PageNumber"/>
          <w:rFonts w:eastAsia="Arial Unicode MS" w:cs="Arial Unicode MS"/>
        </w:rPr>
        <w:t xml:space="preserve"> are available in CEU Library; the book is also available online. </w:t>
      </w:r>
    </w:p>
    <w:p w14:paraId="2A146352" w14:textId="77777777" w:rsidR="005D4A1B" w:rsidRDefault="005D4A1B">
      <w:pPr>
        <w:pStyle w:val="BodyText2"/>
      </w:pPr>
    </w:p>
    <w:p w14:paraId="6B33111C" w14:textId="77777777" w:rsidR="005D4A1B" w:rsidRDefault="00000000">
      <w:pPr>
        <w:pStyle w:val="Heading1"/>
        <w:rPr>
          <w:sz w:val="24"/>
          <w:szCs w:val="24"/>
        </w:rPr>
      </w:pPr>
      <w:r>
        <w:rPr>
          <w:sz w:val="24"/>
          <w:szCs w:val="24"/>
        </w:rPr>
        <w:t xml:space="preserve">Grading </w:t>
      </w:r>
    </w:p>
    <w:p w14:paraId="21245496" w14:textId="77777777" w:rsidR="005D4A1B" w:rsidRDefault="00000000">
      <w:pPr>
        <w:jc w:val="both"/>
      </w:pPr>
      <w:r>
        <w:rPr>
          <w:rStyle w:val="PageNumber"/>
        </w:rPr>
        <w:t xml:space="preserve">Evaluation will be based on the ability to make use of the material covered in the course and draw on the relevant theory to analyze policy issues. </w:t>
      </w:r>
    </w:p>
    <w:p w14:paraId="09CDCA40" w14:textId="77777777" w:rsidR="005D4A1B" w:rsidRDefault="005D4A1B">
      <w:pPr>
        <w:jc w:val="both"/>
      </w:pPr>
    </w:p>
    <w:p w14:paraId="36D49EDD" w14:textId="77777777" w:rsidR="005D4A1B" w:rsidRDefault="00000000">
      <w:pPr>
        <w:jc w:val="both"/>
      </w:pPr>
      <w:r>
        <w:rPr>
          <w:rStyle w:val="PageNumber"/>
        </w:rPr>
        <w:t>The course grade will be determined as a weighted average of the following components:</w:t>
      </w:r>
    </w:p>
    <w:p w14:paraId="15DF652C" w14:textId="77777777" w:rsidR="005D4A1B" w:rsidRDefault="00000000">
      <w:pPr>
        <w:tabs>
          <w:tab w:val="left" w:pos="720"/>
        </w:tabs>
        <w:jc w:val="both"/>
      </w:pPr>
      <w:r>
        <w:tab/>
        <w:t xml:space="preserve">Policy Brief – </w:t>
      </w:r>
      <w:r>
        <w:rPr>
          <w:lang w:val="en-US"/>
        </w:rPr>
        <w:t>15</w:t>
      </w:r>
      <w:r>
        <w:t>%</w:t>
      </w:r>
    </w:p>
    <w:p w14:paraId="3638F724" w14:textId="77777777" w:rsidR="005D4A1B" w:rsidRDefault="00000000">
      <w:pPr>
        <w:tabs>
          <w:tab w:val="left" w:pos="720"/>
        </w:tabs>
        <w:jc w:val="both"/>
      </w:pPr>
      <w:r>
        <w:tab/>
        <w:t xml:space="preserve">Final Exam – </w:t>
      </w:r>
      <w:r>
        <w:rPr>
          <w:lang w:val="en-US"/>
        </w:rPr>
        <w:t>60</w:t>
      </w:r>
      <w:r>
        <w:t>%</w:t>
      </w:r>
    </w:p>
    <w:p w14:paraId="426DF5B9" w14:textId="40FD1B9B" w:rsidR="005D4A1B" w:rsidRDefault="00000000">
      <w:pPr>
        <w:tabs>
          <w:tab w:val="left" w:pos="720"/>
        </w:tabs>
        <w:jc w:val="both"/>
      </w:pPr>
      <w:r>
        <w:tab/>
        <w:t xml:space="preserve">Macroeconomic Policy </w:t>
      </w:r>
      <w:r w:rsidR="000C7EA7">
        <w:rPr>
          <w:lang w:val="en-US"/>
        </w:rPr>
        <w:t>Debate</w:t>
      </w:r>
      <w:r>
        <w:t xml:space="preserve"> – 1</w:t>
      </w:r>
      <w:r>
        <w:rPr>
          <w:lang w:val="en-US"/>
        </w:rPr>
        <w:t>5</w:t>
      </w:r>
      <w:r>
        <w:t>%</w:t>
      </w:r>
    </w:p>
    <w:p w14:paraId="0F78854A" w14:textId="77777777" w:rsidR="005D4A1B" w:rsidRDefault="00000000">
      <w:pPr>
        <w:tabs>
          <w:tab w:val="left" w:pos="720"/>
        </w:tabs>
        <w:jc w:val="both"/>
        <w:rPr>
          <w:rStyle w:val="PageNumber"/>
        </w:rPr>
      </w:pPr>
      <w:r>
        <w:tab/>
      </w:r>
      <w:r>
        <w:rPr>
          <w:lang w:val="en-US"/>
        </w:rPr>
        <w:t>Participation in Departmental Seminars 10%</w:t>
      </w:r>
    </w:p>
    <w:p w14:paraId="1D9E1B83" w14:textId="77777777" w:rsidR="005D4A1B" w:rsidRDefault="005D4A1B">
      <w:pPr>
        <w:tabs>
          <w:tab w:val="left" w:pos="720"/>
        </w:tabs>
        <w:jc w:val="both"/>
      </w:pPr>
    </w:p>
    <w:p w14:paraId="559229D6" w14:textId="77777777" w:rsidR="005D4A1B" w:rsidRDefault="00000000">
      <w:pPr>
        <w:tabs>
          <w:tab w:val="left" w:pos="720"/>
        </w:tabs>
        <w:jc w:val="both"/>
      </w:pPr>
      <w:r>
        <w:rPr>
          <w:rStyle w:val="PageNumber"/>
        </w:rPr>
        <w:t xml:space="preserve">There will be one Policy Brief, due in Week 9. Topics will be distributed by Week 2. The Final Exam will be graded based on 0-100 scale. Practice problem sets will be distributed during the course (every third week, to be discussed during the wrap-up session) to facilitate preparation for the exam. These will not be graded. Macroeconomic Policy Project guidelines to be circulated separately. </w:t>
      </w:r>
    </w:p>
    <w:p w14:paraId="635BC7E3" w14:textId="77777777" w:rsidR="005D4A1B" w:rsidRDefault="005D4A1B">
      <w:pPr>
        <w:tabs>
          <w:tab w:val="left" w:pos="720"/>
        </w:tabs>
        <w:jc w:val="both"/>
      </w:pPr>
    </w:p>
    <w:p w14:paraId="531044CD" w14:textId="77777777" w:rsidR="005D4A1B" w:rsidRDefault="005D4A1B">
      <w:pPr>
        <w:tabs>
          <w:tab w:val="left" w:pos="1656"/>
        </w:tabs>
        <w:jc w:val="both"/>
      </w:pPr>
    </w:p>
    <w:p w14:paraId="322C578C" w14:textId="77777777" w:rsidR="005D4A1B" w:rsidRDefault="00000000">
      <w:pPr>
        <w:numPr>
          <w:ilvl w:val="0"/>
          <w:numId w:val="5"/>
        </w:numPr>
        <w:jc w:val="both"/>
      </w:pPr>
      <w:r>
        <w:rPr>
          <w:rStyle w:val="PageNumber"/>
        </w:rPr>
        <w:t>Attendance is mandatory and will be checked.</w:t>
      </w:r>
    </w:p>
    <w:p w14:paraId="6A275EFD" w14:textId="77777777" w:rsidR="005D4A1B" w:rsidRDefault="00000000">
      <w:pPr>
        <w:numPr>
          <w:ilvl w:val="0"/>
          <w:numId w:val="5"/>
        </w:numPr>
        <w:jc w:val="both"/>
      </w:pPr>
      <w:r>
        <w:rPr>
          <w:rStyle w:val="PageNumber"/>
        </w:rPr>
        <w:t>Given the concentration of material, you are strongly encouraged to read the assigned chapters prior to lectures.</w:t>
      </w:r>
    </w:p>
    <w:p w14:paraId="0373F48B" w14:textId="77777777" w:rsidR="005D4A1B" w:rsidRDefault="00000000">
      <w:pPr>
        <w:numPr>
          <w:ilvl w:val="0"/>
          <w:numId w:val="5"/>
        </w:numPr>
        <w:jc w:val="both"/>
      </w:pPr>
      <w:r>
        <w:rPr>
          <w:rStyle w:val="PageNumber"/>
        </w:rPr>
        <w:t>Exam date will be announced in due course</w:t>
      </w:r>
    </w:p>
    <w:p w14:paraId="127929CD" w14:textId="77777777" w:rsidR="005D4A1B" w:rsidRDefault="00000000">
      <w:pPr>
        <w:numPr>
          <w:ilvl w:val="0"/>
          <w:numId w:val="5"/>
        </w:numPr>
        <w:jc w:val="both"/>
      </w:pPr>
      <w:r>
        <w:rPr>
          <w:rStyle w:val="PageNumber"/>
        </w:rPr>
        <w:t>Make-up for the exam/assignments will be allowed only if there is a valid university excuse</w:t>
      </w:r>
    </w:p>
    <w:p w14:paraId="4D4564E1" w14:textId="77777777" w:rsidR="005D4A1B" w:rsidRDefault="00000000">
      <w:pPr>
        <w:numPr>
          <w:ilvl w:val="0"/>
          <w:numId w:val="5"/>
        </w:numPr>
        <w:jc w:val="both"/>
      </w:pPr>
      <w:r>
        <w:rPr>
          <w:rStyle w:val="PageNumber"/>
        </w:rPr>
        <w:t>Assignments and assignment deadlines will be announced in due course. Assignments submitted late will be graded down by 50%. Submitting each assignment is a prerequisite for passing the course.</w:t>
      </w:r>
    </w:p>
    <w:p w14:paraId="7A3BE98C" w14:textId="77777777" w:rsidR="005D4A1B" w:rsidRDefault="00000000">
      <w:pPr>
        <w:numPr>
          <w:ilvl w:val="0"/>
          <w:numId w:val="5"/>
        </w:numPr>
        <w:jc w:val="both"/>
      </w:pPr>
      <w:r>
        <w:rPr>
          <w:rStyle w:val="PageNumber"/>
        </w:rPr>
        <w:t xml:space="preserve">The policy of zero tolerance to academic dishonesty (defined in the student manual and in CEU’s code of ethics) will be strictly applied. </w:t>
      </w:r>
    </w:p>
    <w:p w14:paraId="677B8995" w14:textId="77777777" w:rsidR="005D4A1B" w:rsidRDefault="00000000">
      <w:pPr>
        <w:numPr>
          <w:ilvl w:val="0"/>
          <w:numId w:val="5"/>
        </w:numPr>
        <w:jc w:val="both"/>
      </w:pPr>
      <w:r>
        <w:rPr>
          <w:rStyle w:val="PageNumber"/>
        </w:rPr>
        <w:t>It is strongly recommended that students take every assignment and exam seriously. There is no chance to make up for forfeited points.</w:t>
      </w:r>
    </w:p>
    <w:p w14:paraId="0959FE5C" w14:textId="77777777" w:rsidR="005D4A1B" w:rsidRDefault="00000000">
      <w:pPr>
        <w:numPr>
          <w:ilvl w:val="0"/>
          <w:numId w:val="5"/>
        </w:numPr>
        <w:jc w:val="both"/>
      </w:pPr>
      <w:r>
        <w:rPr>
          <w:rStyle w:val="PageNumber"/>
        </w:rPr>
        <w:t>It is the student’s responsibility to understand these rules and consult the instructor in case of any doubts; as well as in case of any problems with understanding the studied topics.</w:t>
      </w:r>
    </w:p>
    <w:p w14:paraId="5C7FD21B" w14:textId="77777777" w:rsidR="005D4A1B" w:rsidRDefault="005D4A1B">
      <w:pPr>
        <w:pStyle w:val="Heading5"/>
      </w:pPr>
    </w:p>
    <w:p w14:paraId="2EAC48FA" w14:textId="77777777" w:rsidR="005D4A1B" w:rsidRDefault="005D4A1B">
      <w:pPr>
        <w:pStyle w:val="Heading5"/>
      </w:pPr>
    </w:p>
    <w:p w14:paraId="22785944" w14:textId="77777777" w:rsidR="005D4A1B" w:rsidRDefault="005D4A1B">
      <w:pPr>
        <w:pStyle w:val="Heading5"/>
      </w:pPr>
    </w:p>
    <w:p w14:paraId="7E055340" w14:textId="77777777" w:rsidR="005D4A1B" w:rsidRDefault="005D4A1B"/>
    <w:p w14:paraId="2D57BE61" w14:textId="77777777" w:rsidR="005D4A1B" w:rsidRDefault="00000000">
      <w:pPr>
        <w:pStyle w:val="Heading5"/>
      </w:pPr>
      <w:r>
        <w:rPr>
          <w:rStyle w:val="PageNumber"/>
          <w:rFonts w:eastAsia="Arial Unicode MS" w:cs="Arial Unicode MS"/>
        </w:rPr>
        <w:t>Course outline (12 weeks)</w:t>
      </w:r>
    </w:p>
    <w:p w14:paraId="1A2F5A18" w14:textId="77777777" w:rsidR="005D4A1B" w:rsidRDefault="005D4A1B">
      <w:pPr>
        <w:tabs>
          <w:tab w:val="left" w:pos="720"/>
          <w:tab w:val="left" w:pos="1656"/>
        </w:tabs>
        <w:jc w:val="both"/>
      </w:pPr>
    </w:p>
    <w:p w14:paraId="25A00FCE" w14:textId="77777777" w:rsidR="005D4A1B" w:rsidRDefault="00000000">
      <w:pPr>
        <w:numPr>
          <w:ilvl w:val="0"/>
          <w:numId w:val="7"/>
        </w:numPr>
      </w:pPr>
      <w:r>
        <w:t>Introduction into Markets (MD)</w:t>
      </w:r>
    </w:p>
    <w:p w14:paraId="088B1773" w14:textId="77777777" w:rsidR="005D4A1B" w:rsidRDefault="00000000">
      <w:pPr>
        <w:numPr>
          <w:ilvl w:val="0"/>
          <w:numId w:val="7"/>
        </w:numPr>
        <w:rPr>
          <w:lang w:val="en-US"/>
        </w:rPr>
      </w:pPr>
      <w:r>
        <w:rPr>
          <w:lang w:val="en-US"/>
        </w:rPr>
        <w:t>Market Dynamics and Welfare (MD)</w:t>
      </w:r>
    </w:p>
    <w:p w14:paraId="5B0F4070" w14:textId="77777777" w:rsidR="005D4A1B" w:rsidRDefault="00000000">
      <w:pPr>
        <w:numPr>
          <w:ilvl w:val="0"/>
          <w:numId w:val="7"/>
        </w:numPr>
        <w:rPr>
          <w:lang w:val="en-US"/>
        </w:rPr>
      </w:pPr>
      <w:r>
        <w:rPr>
          <w:lang w:val="en-US"/>
        </w:rPr>
        <w:t>Market Interventions and Policy Tools (MD)</w:t>
      </w:r>
    </w:p>
    <w:p w14:paraId="7327E239" w14:textId="77777777" w:rsidR="005D4A1B" w:rsidRDefault="00000000">
      <w:pPr>
        <w:numPr>
          <w:ilvl w:val="0"/>
          <w:numId w:val="7"/>
        </w:numPr>
      </w:pPr>
      <w:r>
        <w:t>Introduction into Macroeconomic Analysis (MK)</w:t>
      </w:r>
    </w:p>
    <w:p w14:paraId="5C1EA73B" w14:textId="77777777" w:rsidR="005D4A1B" w:rsidRDefault="00000000">
      <w:pPr>
        <w:numPr>
          <w:ilvl w:val="0"/>
          <w:numId w:val="7"/>
        </w:numPr>
      </w:pPr>
      <w:r>
        <w:t>Money and Inflation (MK)</w:t>
      </w:r>
    </w:p>
    <w:p w14:paraId="1F026C76" w14:textId="77777777" w:rsidR="005D4A1B" w:rsidRDefault="00000000">
      <w:pPr>
        <w:numPr>
          <w:ilvl w:val="0"/>
          <w:numId w:val="7"/>
        </w:numPr>
        <w:rPr>
          <w:lang w:val="en-US"/>
        </w:rPr>
      </w:pPr>
      <w:r>
        <w:rPr>
          <w:lang w:val="en-US"/>
        </w:rPr>
        <w:t>The Open Economy (MK)</w:t>
      </w:r>
    </w:p>
    <w:p w14:paraId="3B079F2B" w14:textId="77777777" w:rsidR="005D4A1B" w:rsidRDefault="00000000">
      <w:pPr>
        <w:numPr>
          <w:ilvl w:val="0"/>
          <w:numId w:val="7"/>
        </w:numPr>
        <w:rPr>
          <w:lang w:val="en-US"/>
        </w:rPr>
      </w:pPr>
      <w:r>
        <w:rPr>
          <w:lang w:val="en-US"/>
        </w:rPr>
        <w:t>Policy Lab (MD, MK, TA)</w:t>
      </w:r>
    </w:p>
    <w:p w14:paraId="2E720638" w14:textId="77777777" w:rsidR="005D4A1B" w:rsidRDefault="00000000">
      <w:pPr>
        <w:numPr>
          <w:ilvl w:val="0"/>
          <w:numId w:val="7"/>
        </w:numPr>
        <w:rPr>
          <w:lang w:val="en-US"/>
        </w:rPr>
      </w:pPr>
      <w:r>
        <w:rPr>
          <w:lang w:val="en-US"/>
        </w:rPr>
        <w:t>The Labor Market (MK)</w:t>
      </w:r>
    </w:p>
    <w:p w14:paraId="676564C3" w14:textId="667C7D44" w:rsidR="005D4A1B" w:rsidRDefault="00000000">
      <w:pPr>
        <w:numPr>
          <w:ilvl w:val="0"/>
          <w:numId w:val="8"/>
        </w:numPr>
      </w:pPr>
      <w:r>
        <w:t xml:space="preserve">Economic </w:t>
      </w:r>
      <w:r w:rsidR="0012579D">
        <w:rPr>
          <w:lang w:val="en-US"/>
        </w:rPr>
        <w:t>G</w:t>
      </w:r>
      <w:r>
        <w:t xml:space="preserve">rowth and </w:t>
      </w:r>
      <w:r w:rsidR="0012579D">
        <w:rPr>
          <w:lang w:val="en-US"/>
        </w:rPr>
        <w:t>L</w:t>
      </w:r>
      <w:r>
        <w:t xml:space="preserve">iving </w:t>
      </w:r>
      <w:r w:rsidR="0012579D">
        <w:rPr>
          <w:lang w:val="en-US"/>
        </w:rPr>
        <w:t>St</w:t>
      </w:r>
      <w:r>
        <w:t>andards in the</w:t>
      </w:r>
      <w:r w:rsidR="0012579D">
        <w:rPr>
          <w:lang w:val="en-US"/>
        </w:rPr>
        <w:t xml:space="preserve"> L</w:t>
      </w:r>
      <w:r>
        <w:t>ong-</w:t>
      </w:r>
      <w:r w:rsidR="0012579D">
        <w:rPr>
          <w:lang w:val="en-US"/>
        </w:rPr>
        <w:t>R</w:t>
      </w:r>
      <w:r>
        <w:t>un</w:t>
      </w:r>
      <w:r>
        <w:rPr>
          <w:lang w:val="en-US"/>
        </w:rPr>
        <w:t xml:space="preserve"> (MK)</w:t>
      </w:r>
    </w:p>
    <w:p w14:paraId="37D7858D" w14:textId="77777777" w:rsidR="005D4A1B" w:rsidRDefault="00000000">
      <w:pPr>
        <w:numPr>
          <w:ilvl w:val="0"/>
          <w:numId w:val="7"/>
        </w:numPr>
        <w:rPr>
          <w:lang w:val="en-US"/>
        </w:rPr>
      </w:pPr>
      <w:r>
        <w:rPr>
          <w:lang w:val="en-US"/>
        </w:rPr>
        <w:t>The Business Cycle (MK)</w:t>
      </w:r>
    </w:p>
    <w:p w14:paraId="622B3D99" w14:textId="77777777" w:rsidR="005D4A1B" w:rsidRDefault="00000000">
      <w:pPr>
        <w:numPr>
          <w:ilvl w:val="0"/>
          <w:numId w:val="7"/>
        </w:numPr>
        <w:rPr>
          <w:lang w:val="en-US"/>
        </w:rPr>
      </w:pPr>
      <w:r>
        <w:rPr>
          <w:lang w:val="en-US"/>
        </w:rPr>
        <w:t>Stabilization Policy (MK)</w:t>
      </w:r>
    </w:p>
    <w:p w14:paraId="2FE70C72" w14:textId="77777777" w:rsidR="005D4A1B" w:rsidRDefault="00000000">
      <w:pPr>
        <w:numPr>
          <w:ilvl w:val="0"/>
          <w:numId w:val="7"/>
        </w:numPr>
        <w:rPr>
          <w:lang w:val="en-US"/>
        </w:rPr>
      </w:pPr>
      <w:r>
        <w:rPr>
          <w:lang w:val="en-US"/>
        </w:rPr>
        <w:t>Macroeconomic Policy Project (MK, MD)</w:t>
      </w:r>
    </w:p>
    <w:p w14:paraId="4DD5408A" w14:textId="77777777" w:rsidR="005D4A1B" w:rsidRDefault="005D4A1B"/>
    <w:p w14:paraId="0919C0C8" w14:textId="77777777" w:rsidR="005D4A1B" w:rsidRDefault="005D4A1B">
      <w:pPr>
        <w:tabs>
          <w:tab w:val="left" w:pos="720"/>
          <w:tab w:val="left" w:pos="1656"/>
        </w:tabs>
        <w:jc w:val="both"/>
      </w:pPr>
    </w:p>
    <w:p w14:paraId="3C05798B" w14:textId="77777777" w:rsidR="005D4A1B" w:rsidRDefault="005D4A1B">
      <w:pPr>
        <w:tabs>
          <w:tab w:val="left" w:pos="720"/>
          <w:tab w:val="left" w:pos="1656"/>
        </w:tabs>
        <w:jc w:val="both"/>
      </w:pPr>
    </w:p>
    <w:p w14:paraId="3914AEE0" w14:textId="77777777" w:rsidR="005D4A1B" w:rsidRDefault="00000000">
      <w:pPr>
        <w:tabs>
          <w:tab w:val="left" w:pos="720"/>
          <w:tab w:val="left" w:pos="1656"/>
        </w:tabs>
        <w:jc w:val="both"/>
        <w:rPr>
          <w:rStyle w:val="Strong"/>
        </w:rPr>
      </w:pPr>
      <w:r>
        <w:rPr>
          <w:b/>
          <w:bCs/>
        </w:rPr>
        <w:t xml:space="preserve">Week </w:t>
      </w:r>
      <w:r>
        <w:rPr>
          <w:b/>
          <w:bCs/>
          <w:lang w:val="en-US"/>
        </w:rPr>
        <w:t>1</w:t>
      </w:r>
      <w:r>
        <w:rPr>
          <w:b/>
          <w:bCs/>
        </w:rPr>
        <w:t xml:space="preserve"> – Introduction into </w:t>
      </w:r>
      <w:r>
        <w:rPr>
          <w:b/>
          <w:bCs/>
          <w:lang w:val="en-US"/>
        </w:rPr>
        <w:t>Markets</w:t>
      </w:r>
    </w:p>
    <w:p w14:paraId="698597FF" w14:textId="77777777" w:rsidR="005D4A1B" w:rsidRDefault="005D4A1B">
      <w:pPr>
        <w:tabs>
          <w:tab w:val="left" w:pos="720"/>
          <w:tab w:val="left" w:pos="1656"/>
        </w:tabs>
        <w:jc w:val="both"/>
        <w:rPr>
          <w:rStyle w:val="Strong"/>
        </w:rPr>
      </w:pPr>
    </w:p>
    <w:p w14:paraId="4524FC8F" w14:textId="77777777" w:rsidR="005D4A1B" w:rsidRDefault="00000000">
      <w:pPr>
        <w:tabs>
          <w:tab w:val="left" w:pos="720"/>
          <w:tab w:val="left" w:pos="1656"/>
        </w:tabs>
        <w:jc w:val="both"/>
      </w:pPr>
      <w:r>
        <w:rPr>
          <w:lang w:val="en-US"/>
        </w:rPr>
        <w:t>Required:</w:t>
      </w:r>
    </w:p>
    <w:p w14:paraId="36F9DB82" w14:textId="77777777" w:rsidR="005D4A1B" w:rsidRDefault="00000000">
      <w:pPr>
        <w:tabs>
          <w:tab w:val="left" w:pos="720"/>
          <w:tab w:val="left" w:pos="1656"/>
        </w:tabs>
        <w:jc w:val="both"/>
      </w:pPr>
      <w:r>
        <w:rPr>
          <w:lang w:val="en-US"/>
        </w:rPr>
        <w:tab/>
        <w:t>Mankiw, Chapter “The market forces of supply and demand” (all)</w:t>
      </w:r>
    </w:p>
    <w:p w14:paraId="2A66D0BC" w14:textId="77777777" w:rsidR="005D4A1B" w:rsidRDefault="005D4A1B">
      <w:pPr>
        <w:tabs>
          <w:tab w:val="left" w:pos="720"/>
          <w:tab w:val="left" w:pos="1656"/>
        </w:tabs>
        <w:jc w:val="both"/>
      </w:pPr>
    </w:p>
    <w:p w14:paraId="45629337" w14:textId="77777777" w:rsidR="005D4A1B" w:rsidRDefault="005D4A1B">
      <w:pPr>
        <w:tabs>
          <w:tab w:val="left" w:pos="720"/>
          <w:tab w:val="left" w:pos="1656"/>
        </w:tabs>
        <w:jc w:val="both"/>
      </w:pPr>
    </w:p>
    <w:p w14:paraId="71B6736D" w14:textId="77777777" w:rsidR="005D4A1B" w:rsidRDefault="00000000">
      <w:pPr>
        <w:tabs>
          <w:tab w:val="left" w:pos="720"/>
          <w:tab w:val="left" w:pos="1656"/>
        </w:tabs>
        <w:jc w:val="both"/>
        <w:rPr>
          <w:rStyle w:val="Strong"/>
        </w:rPr>
      </w:pPr>
      <w:r>
        <w:rPr>
          <w:b/>
          <w:bCs/>
        </w:rPr>
        <w:t xml:space="preserve">Week </w:t>
      </w:r>
      <w:r>
        <w:rPr>
          <w:b/>
          <w:bCs/>
          <w:lang w:val="en-US"/>
        </w:rPr>
        <w:t>2</w:t>
      </w:r>
      <w:r>
        <w:rPr>
          <w:b/>
          <w:bCs/>
        </w:rPr>
        <w:t xml:space="preserve"> – </w:t>
      </w:r>
      <w:r>
        <w:rPr>
          <w:b/>
          <w:bCs/>
          <w:lang w:val="en-US"/>
        </w:rPr>
        <w:t>Market Dynamics and Welfare</w:t>
      </w:r>
    </w:p>
    <w:p w14:paraId="7F77239D" w14:textId="77777777" w:rsidR="005D4A1B" w:rsidRDefault="005D4A1B">
      <w:pPr>
        <w:tabs>
          <w:tab w:val="left" w:pos="720"/>
          <w:tab w:val="left" w:pos="1656"/>
        </w:tabs>
        <w:jc w:val="both"/>
        <w:rPr>
          <w:rStyle w:val="Strong"/>
        </w:rPr>
      </w:pPr>
    </w:p>
    <w:p w14:paraId="189E4A87" w14:textId="77777777" w:rsidR="005D4A1B" w:rsidRDefault="00000000">
      <w:pPr>
        <w:tabs>
          <w:tab w:val="left" w:pos="720"/>
          <w:tab w:val="left" w:pos="1656"/>
        </w:tabs>
        <w:jc w:val="both"/>
      </w:pPr>
      <w:r>
        <w:rPr>
          <w:lang w:val="en-US"/>
        </w:rPr>
        <w:t>Required:</w:t>
      </w:r>
    </w:p>
    <w:p w14:paraId="0B9DE6B3" w14:textId="77777777" w:rsidR="005D4A1B" w:rsidRDefault="00000000">
      <w:pPr>
        <w:tabs>
          <w:tab w:val="left" w:pos="720"/>
          <w:tab w:val="left" w:pos="1656"/>
        </w:tabs>
        <w:jc w:val="both"/>
      </w:pPr>
      <w:r>
        <w:rPr>
          <w:lang w:val="en-US"/>
        </w:rPr>
        <w:tab/>
        <w:t>Mankiw, Chapter “Elasticity and it’s applications” (pp. 72 — 89 and 95 — 99)</w:t>
      </w:r>
    </w:p>
    <w:p w14:paraId="43A829B5" w14:textId="77777777" w:rsidR="005D4A1B" w:rsidRDefault="00000000">
      <w:pPr>
        <w:tabs>
          <w:tab w:val="left" w:pos="720"/>
          <w:tab w:val="left" w:pos="1656"/>
        </w:tabs>
        <w:jc w:val="both"/>
      </w:pPr>
      <w:r>
        <w:rPr>
          <w:lang w:val="en-US"/>
        </w:rPr>
        <w:tab/>
        <w:t>Mankiw, Chapter “Consumers, producers and the efficiency of markets” (pp. 169 — 183)</w:t>
      </w:r>
    </w:p>
    <w:p w14:paraId="2554E5F0" w14:textId="77777777" w:rsidR="005D4A1B" w:rsidRDefault="005D4A1B">
      <w:pPr>
        <w:tabs>
          <w:tab w:val="left" w:pos="720"/>
          <w:tab w:val="left" w:pos="1656"/>
        </w:tabs>
        <w:jc w:val="both"/>
      </w:pPr>
    </w:p>
    <w:p w14:paraId="4505F237" w14:textId="77777777" w:rsidR="005D4A1B" w:rsidRDefault="00000000">
      <w:pPr>
        <w:tabs>
          <w:tab w:val="left" w:pos="720"/>
          <w:tab w:val="left" w:pos="1656"/>
        </w:tabs>
        <w:jc w:val="both"/>
      </w:pPr>
      <w:r>
        <w:rPr>
          <w:lang w:val="en-US"/>
        </w:rPr>
        <w:t>Further:</w:t>
      </w:r>
    </w:p>
    <w:p w14:paraId="102A1381" w14:textId="77777777" w:rsidR="005D4A1B" w:rsidRDefault="00000000">
      <w:pPr>
        <w:tabs>
          <w:tab w:val="left" w:pos="720"/>
          <w:tab w:val="left" w:pos="1656"/>
        </w:tabs>
        <w:jc w:val="both"/>
      </w:pPr>
      <w:r>
        <w:tab/>
        <w:t>Christiane Baumeister and Lutz Kilian</w:t>
      </w:r>
      <w:r>
        <w:rPr>
          <w:lang w:val="en-US"/>
        </w:rPr>
        <w:t xml:space="preserve">. </w:t>
      </w:r>
      <w:r>
        <w:t>(2016)</w:t>
      </w:r>
      <w:r>
        <w:rPr>
          <w:lang w:val="en-US"/>
        </w:rPr>
        <w:t>.</w:t>
      </w:r>
      <w:r>
        <w:t xml:space="preserve"> </w:t>
      </w:r>
      <w:r>
        <w:rPr>
          <w:lang w:val="en-US"/>
        </w:rPr>
        <w:t>“</w:t>
      </w:r>
      <w:hyperlink r:id="rId8" w:history="1">
        <w:r>
          <w:rPr>
            <w:rStyle w:val="Link"/>
          </w:rPr>
          <w:t xml:space="preserve">Forty years of oil price </w:t>
        </w:r>
        <w:proofErr w:type="spellStart"/>
        <w:r>
          <w:rPr>
            <w:rStyle w:val="Link"/>
            <w:lang w:val="en-US"/>
          </w:rPr>
          <w:t>fl</w:t>
        </w:r>
        <w:proofErr w:type="spellEnd"/>
        <w:r>
          <w:rPr>
            <w:rStyle w:val="Link"/>
          </w:rPr>
          <w:t>uctuations: Why the price of</w:t>
        </w:r>
        <w:r>
          <w:rPr>
            <w:rStyle w:val="Link"/>
            <w:lang w:val="en-US"/>
          </w:rPr>
          <w:t xml:space="preserve"> </w:t>
        </w:r>
        <w:r>
          <w:rPr>
            <w:rStyle w:val="Link"/>
          </w:rPr>
          <w:t>oil may still surprise</w:t>
        </w:r>
      </w:hyperlink>
      <w:r>
        <w:rPr>
          <w:color w:val="0433FF"/>
          <w:lang w:val="en-US"/>
        </w:rPr>
        <w:t>,”</w:t>
      </w:r>
      <w:r>
        <w:t xml:space="preserve"> </w:t>
      </w:r>
      <w:r>
        <w:rPr>
          <w:i/>
          <w:iCs/>
        </w:rPr>
        <w:t>Journal of Economic Perspectives</w:t>
      </w:r>
      <w:r>
        <w:t xml:space="preserve">, 30: 139 </w:t>
      </w:r>
      <w:r>
        <w:rPr>
          <w:lang w:val="en-US"/>
        </w:rPr>
        <w:t xml:space="preserve">— </w:t>
      </w:r>
      <w:r>
        <w:t>160 (focus on pages 139</w:t>
      </w:r>
      <w:r>
        <w:rPr>
          <w:lang w:val="en-US"/>
        </w:rPr>
        <w:t xml:space="preserve"> — </w:t>
      </w:r>
      <w:r>
        <w:t>148 )</w:t>
      </w:r>
      <w:r>
        <w:rPr>
          <w:lang w:val="en-US"/>
        </w:rPr>
        <w:t>.</w:t>
      </w:r>
    </w:p>
    <w:p w14:paraId="393B0871" w14:textId="77777777" w:rsidR="005D4A1B" w:rsidRDefault="005D4A1B">
      <w:pPr>
        <w:tabs>
          <w:tab w:val="left" w:pos="720"/>
          <w:tab w:val="left" w:pos="1656"/>
        </w:tabs>
        <w:jc w:val="both"/>
      </w:pPr>
    </w:p>
    <w:p w14:paraId="28BFA2F4" w14:textId="77777777" w:rsidR="005D4A1B" w:rsidRDefault="005D4A1B">
      <w:pPr>
        <w:tabs>
          <w:tab w:val="left" w:pos="720"/>
          <w:tab w:val="left" w:pos="1656"/>
        </w:tabs>
        <w:jc w:val="both"/>
      </w:pPr>
    </w:p>
    <w:p w14:paraId="5ADB448E" w14:textId="77777777" w:rsidR="005D4A1B" w:rsidRDefault="00000000">
      <w:pPr>
        <w:tabs>
          <w:tab w:val="left" w:pos="720"/>
          <w:tab w:val="left" w:pos="1656"/>
        </w:tabs>
        <w:jc w:val="both"/>
        <w:rPr>
          <w:rStyle w:val="Strong"/>
        </w:rPr>
      </w:pPr>
      <w:r>
        <w:rPr>
          <w:b/>
          <w:bCs/>
        </w:rPr>
        <w:t xml:space="preserve">Week </w:t>
      </w:r>
      <w:r>
        <w:rPr>
          <w:b/>
          <w:bCs/>
          <w:lang w:val="en-US"/>
        </w:rPr>
        <w:t>3</w:t>
      </w:r>
      <w:r>
        <w:rPr>
          <w:b/>
          <w:bCs/>
        </w:rPr>
        <w:t xml:space="preserve"> – </w:t>
      </w:r>
      <w:r>
        <w:rPr>
          <w:b/>
          <w:bCs/>
          <w:lang w:val="en-US"/>
        </w:rPr>
        <w:t>Market Interventions and Policy Tools</w:t>
      </w:r>
    </w:p>
    <w:p w14:paraId="28E1D43A" w14:textId="77777777" w:rsidR="005D4A1B" w:rsidRDefault="005D4A1B">
      <w:pPr>
        <w:tabs>
          <w:tab w:val="left" w:pos="720"/>
          <w:tab w:val="left" w:pos="1656"/>
        </w:tabs>
        <w:jc w:val="both"/>
        <w:rPr>
          <w:rStyle w:val="Strong"/>
        </w:rPr>
      </w:pPr>
    </w:p>
    <w:p w14:paraId="7A978A56" w14:textId="77777777" w:rsidR="005D4A1B" w:rsidRDefault="00000000">
      <w:pPr>
        <w:tabs>
          <w:tab w:val="left" w:pos="720"/>
          <w:tab w:val="left" w:pos="1656"/>
        </w:tabs>
        <w:jc w:val="both"/>
      </w:pPr>
      <w:r>
        <w:rPr>
          <w:lang w:val="en-US"/>
        </w:rPr>
        <w:t>Required:</w:t>
      </w:r>
    </w:p>
    <w:p w14:paraId="22A2FA35" w14:textId="77777777" w:rsidR="005D4A1B" w:rsidRDefault="00000000">
      <w:pPr>
        <w:tabs>
          <w:tab w:val="left" w:pos="720"/>
          <w:tab w:val="left" w:pos="1656"/>
        </w:tabs>
        <w:jc w:val="both"/>
      </w:pPr>
      <w:r>
        <w:rPr>
          <w:lang w:val="en-US"/>
        </w:rPr>
        <w:tab/>
        <w:t>Mankiw, Chapter “Supply, demand and government policies” (pp. 187 — 199)</w:t>
      </w:r>
    </w:p>
    <w:p w14:paraId="61658B8F" w14:textId="77777777" w:rsidR="005D4A1B" w:rsidRDefault="00000000">
      <w:pPr>
        <w:tabs>
          <w:tab w:val="left" w:pos="720"/>
          <w:tab w:val="left" w:pos="1656"/>
        </w:tabs>
        <w:jc w:val="both"/>
      </w:pPr>
      <w:r>
        <w:rPr>
          <w:lang w:val="en-US"/>
        </w:rPr>
        <w:tab/>
        <w:t>Mankiw, Chapter “The tax system and the costs of taxation” (pp. 203 — 210)</w:t>
      </w:r>
    </w:p>
    <w:p w14:paraId="0FA7D1A8" w14:textId="77777777" w:rsidR="005D4A1B" w:rsidRDefault="005D4A1B">
      <w:pPr>
        <w:tabs>
          <w:tab w:val="left" w:pos="720"/>
          <w:tab w:val="left" w:pos="1656"/>
        </w:tabs>
        <w:jc w:val="both"/>
      </w:pPr>
    </w:p>
    <w:p w14:paraId="3422D24E" w14:textId="77777777" w:rsidR="005D4A1B" w:rsidRDefault="00000000">
      <w:pPr>
        <w:tabs>
          <w:tab w:val="left" w:pos="720"/>
          <w:tab w:val="left" w:pos="1656"/>
        </w:tabs>
        <w:jc w:val="both"/>
      </w:pPr>
      <w:r>
        <w:rPr>
          <w:lang w:val="en-US"/>
        </w:rPr>
        <w:lastRenderedPageBreak/>
        <w:t>Further:</w:t>
      </w:r>
    </w:p>
    <w:p w14:paraId="36EABD9F" w14:textId="77777777" w:rsidR="005D4A1B" w:rsidRDefault="00000000">
      <w:pPr>
        <w:tabs>
          <w:tab w:val="left" w:pos="720"/>
          <w:tab w:val="left" w:pos="1656"/>
        </w:tabs>
        <w:jc w:val="both"/>
      </w:pPr>
      <w:r>
        <w:tab/>
        <w:t>Diamond R., McQuade T. &amp; Qian F. (2019).</w:t>
      </w:r>
      <w:r>
        <w:rPr>
          <w:lang w:val="en-US"/>
        </w:rPr>
        <w:t xml:space="preserve"> “</w:t>
      </w:r>
      <w:hyperlink r:id="rId9" w:history="1">
        <w:r>
          <w:rPr>
            <w:rStyle w:val="Link"/>
          </w:rPr>
          <w:t>The E</w:t>
        </w:r>
        <w:r>
          <w:rPr>
            <w:rStyle w:val="Link"/>
            <w:lang w:val="en-US"/>
          </w:rPr>
          <w:t>ff</w:t>
        </w:r>
        <w:r>
          <w:rPr>
            <w:rStyle w:val="Link"/>
          </w:rPr>
          <w:t>ects of Rent Control Expansion on Tenants,</w:t>
        </w:r>
        <w:r>
          <w:rPr>
            <w:rStyle w:val="Link"/>
            <w:lang w:val="en-US"/>
          </w:rPr>
          <w:t xml:space="preserve"> </w:t>
        </w:r>
        <w:r>
          <w:rPr>
            <w:rStyle w:val="Link"/>
          </w:rPr>
          <w:t>Landlords, and Inequality: Evidence from San Francisco</w:t>
        </w:r>
      </w:hyperlink>
      <w:r>
        <w:rPr>
          <w:i/>
          <w:iCs/>
          <w:lang w:val="en-US"/>
        </w:rPr>
        <w:t>,</w:t>
      </w:r>
      <w:r>
        <w:rPr>
          <w:lang w:val="en-US"/>
        </w:rPr>
        <w:t>"</w:t>
      </w:r>
      <w:r>
        <w:rPr>
          <w:i/>
          <w:iCs/>
          <w:lang w:val="en-US"/>
        </w:rPr>
        <w:t xml:space="preserve"> </w:t>
      </w:r>
      <w:r>
        <w:rPr>
          <w:i/>
          <w:iCs/>
        </w:rPr>
        <w:t>American Economic Review</w:t>
      </w:r>
      <w:r>
        <w:rPr>
          <w:i/>
          <w:iCs/>
          <w:lang w:val="en-US"/>
        </w:rPr>
        <w:t xml:space="preserve">, </w:t>
      </w:r>
      <w:r>
        <w:rPr>
          <w:lang w:val="en-US"/>
        </w:rPr>
        <w:t>109: 3365 — 3394.</w:t>
      </w:r>
    </w:p>
    <w:p w14:paraId="66795AF2" w14:textId="77777777" w:rsidR="005D4A1B" w:rsidRDefault="00000000">
      <w:pPr>
        <w:tabs>
          <w:tab w:val="left" w:pos="720"/>
          <w:tab w:val="left" w:pos="1656"/>
        </w:tabs>
        <w:jc w:val="both"/>
      </w:pPr>
      <w:r>
        <w:tab/>
      </w:r>
    </w:p>
    <w:p w14:paraId="58A2DC1D" w14:textId="77777777" w:rsidR="005D4A1B" w:rsidRDefault="005D4A1B">
      <w:pPr>
        <w:tabs>
          <w:tab w:val="left" w:pos="720"/>
          <w:tab w:val="left" w:pos="1656"/>
        </w:tabs>
        <w:jc w:val="both"/>
      </w:pPr>
    </w:p>
    <w:p w14:paraId="7AE33B71" w14:textId="77777777" w:rsidR="005D4A1B" w:rsidRDefault="00000000">
      <w:pPr>
        <w:tabs>
          <w:tab w:val="left" w:pos="720"/>
          <w:tab w:val="left" w:pos="1656"/>
        </w:tabs>
        <w:jc w:val="both"/>
        <w:rPr>
          <w:rStyle w:val="Strong"/>
        </w:rPr>
      </w:pPr>
      <w:r>
        <w:rPr>
          <w:rStyle w:val="Strong"/>
        </w:rPr>
        <w:t xml:space="preserve">Week </w:t>
      </w:r>
      <w:r>
        <w:rPr>
          <w:rStyle w:val="Strong"/>
          <w:lang w:val="en-US"/>
        </w:rPr>
        <w:t>4</w:t>
      </w:r>
      <w:r>
        <w:rPr>
          <w:rStyle w:val="Strong"/>
        </w:rPr>
        <w:t xml:space="preserve"> – Introduction into Macroeconomic Analysis</w:t>
      </w:r>
    </w:p>
    <w:p w14:paraId="7A6C685D" w14:textId="77777777" w:rsidR="005D4A1B" w:rsidRDefault="005D4A1B">
      <w:pPr>
        <w:tabs>
          <w:tab w:val="left" w:pos="720"/>
          <w:tab w:val="left" w:pos="1656"/>
        </w:tabs>
        <w:jc w:val="both"/>
      </w:pPr>
    </w:p>
    <w:p w14:paraId="2BECC3FA" w14:textId="77777777" w:rsidR="005D4A1B" w:rsidRDefault="00000000">
      <w:pPr>
        <w:tabs>
          <w:tab w:val="left" w:pos="720"/>
          <w:tab w:val="left" w:pos="1656"/>
        </w:tabs>
        <w:jc w:val="both"/>
      </w:pPr>
      <w:r>
        <w:rPr>
          <w:rStyle w:val="PageNumber"/>
        </w:rPr>
        <w:t>Required:</w:t>
      </w:r>
    </w:p>
    <w:p w14:paraId="352721F7" w14:textId="77777777" w:rsidR="005D4A1B" w:rsidRDefault="00000000">
      <w:pPr>
        <w:tabs>
          <w:tab w:val="left" w:pos="720"/>
          <w:tab w:val="left" w:pos="1656"/>
        </w:tabs>
        <w:jc w:val="both"/>
      </w:pPr>
      <w:r>
        <w:rPr>
          <w:rStyle w:val="PageNumber"/>
        </w:rPr>
        <w:tab/>
        <w:t>Mankiw, Chapter “The Science of Macroeconomics”</w:t>
      </w:r>
    </w:p>
    <w:p w14:paraId="394ED9E5" w14:textId="77777777" w:rsidR="005D4A1B" w:rsidRDefault="00000000">
      <w:pPr>
        <w:tabs>
          <w:tab w:val="left" w:pos="720"/>
          <w:tab w:val="left" w:pos="1656"/>
        </w:tabs>
        <w:jc w:val="both"/>
      </w:pPr>
      <w:r>
        <w:rPr>
          <w:rStyle w:val="PageNumber"/>
        </w:rPr>
        <w:tab/>
        <w:t>Mankiw, Chapter “The Data of Macroeconomics”</w:t>
      </w:r>
    </w:p>
    <w:p w14:paraId="210A05E1" w14:textId="77777777" w:rsidR="005D4A1B" w:rsidRDefault="005D4A1B">
      <w:pPr>
        <w:tabs>
          <w:tab w:val="left" w:pos="720"/>
          <w:tab w:val="left" w:pos="1656"/>
        </w:tabs>
        <w:jc w:val="both"/>
      </w:pPr>
    </w:p>
    <w:p w14:paraId="18903A7E" w14:textId="77777777" w:rsidR="005D4A1B" w:rsidRDefault="00000000">
      <w:pPr>
        <w:tabs>
          <w:tab w:val="left" w:pos="720"/>
          <w:tab w:val="left" w:pos="1656"/>
        </w:tabs>
        <w:jc w:val="both"/>
      </w:pPr>
      <w:r>
        <w:rPr>
          <w:rStyle w:val="PageNumber"/>
        </w:rPr>
        <w:t>Policy application:</w:t>
      </w:r>
    </w:p>
    <w:p w14:paraId="7020BEA0" w14:textId="77777777" w:rsidR="005D4A1B" w:rsidRDefault="00000000">
      <w:pPr>
        <w:tabs>
          <w:tab w:val="left" w:pos="720"/>
          <w:tab w:val="left" w:pos="1656"/>
        </w:tabs>
        <w:jc w:val="both"/>
      </w:pPr>
      <w:r>
        <w:rPr>
          <w:rStyle w:val="PageNumber"/>
        </w:rPr>
        <w:tab/>
        <w:t>Understanding the data: The seasonal cycle and seasonal adjustment</w:t>
      </w:r>
    </w:p>
    <w:p w14:paraId="333DEB93" w14:textId="77777777" w:rsidR="005D4A1B" w:rsidRDefault="005D4A1B">
      <w:pPr>
        <w:tabs>
          <w:tab w:val="left" w:pos="720"/>
          <w:tab w:val="left" w:pos="1656"/>
        </w:tabs>
        <w:jc w:val="both"/>
      </w:pPr>
    </w:p>
    <w:p w14:paraId="69832C29" w14:textId="77777777" w:rsidR="005D4A1B" w:rsidRDefault="005D4A1B">
      <w:pPr>
        <w:tabs>
          <w:tab w:val="left" w:pos="720"/>
          <w:tab w:val="left" w:pos="1656"/>
        </w:tabs>
        <w:jc w:val="both"/>
      </w:pPr>
    </w:p>
    <w:p w14:paraId="6841FEDA" w14:textId="77777777" w:rsidR="005D4A1B" w:rsidRDefault="00000000">
      <w:pPr>
        <w:tabs>
          <w:tab w:val="left" w:pos="720"/>
          <w:tab w:val="left" w:pos="1656"/>
        </w:tabs>
        <w:jc w:val="both"/>
      </w:pPr>
      <w:r>
        <w:rPr>
          <w:b/>
          <w:bCs/>
        </w:rPr>
        <w:t xml:space="preserve">Week </w:t>
      </w:r>
      <w:r>
        <w:rPr>
          <w:b/>
          <w:bCs/>
          <w:lang w:val="en-US"/>
        </w:rPr>
        <w:t>5</w:t>
      </w:r>
      <w:r>
        <w:rPr>
          <w:b/>
          <w:bCs/>
        </w:rPr>
        <w:t xml:space="preserve">  – Money and Inflation</w:t>
      </w:r>
    </w:p>
    <w:p w14:paraId="46DAE8DB" w14:textId="77777777" w:rsidR="005D4A1B" w:rsidRDefault="00000000">
      <w:pPr>
        <w:tabs>
          <w:tab w:val="left" w:pos="720"/>
          <w:tab w:val="left" w:pos="1656"/>
        </w:tabs>
        <w:jc w:val="both"/>
      </w:pPr>
      <w:r>
        <w:rPr>
          <w:rStyle w:val="PageNumber"/>
        </w:rPr>
        <w:t xml:space="preserve">Required: </w:t>
      </w:r>
    </w:p>
    <w:p w14:paraId="5723F678" w14:textId="77777777" w:rsidR="005D4A1B" w:rsidRDefault="00000000">
      <w:pPr>
        <w:tabs>
          <w:tab w:val="left" w:pos="720"/>
          <w:tab w:val="left" w:pos="1656"/>
        </w:tabs>
        <w:jc w:val="both"/>
      </w:pPr>
      <w:r>
        <w:tab/>
        <w:t>Mankiw, Chapter “The Monetary System: What It Is and How It Works</w:t>
      </w:r>
      <w:r>
        <w:rPr>
          <w:lang w:val="en-US"/>
        </w:rPr>
        <w:t>”</w:t>
      </w:r>
    </w:p>
    <w:p w14:paraId="19B33C6D" w14:textId="77777777" w:rsidR="005D4A1B" w:rsidRDefault="00000000">
      <w:pPr>
        <w:tabs>
          <w:tab w:val="left" w:pos="720"/>
          <w:tab w:val="left" w:pos="1656"/>
        </w:tabs>
        <w:jc w:val="both"/>
      </w:pPr>
      <w:r>
        <w:rPr>
          <w:rStyle w:val="PageNumber"/>
        </w:rPr>
        <w:tab/>
        <w:t>Mankiw, Chapter “Inflation: Its Causes, Effects, and Social Costs”</w:t>
      </w:r>
    </w:p>
    <w:p w14:paraId="0C21EB7B" w14:textId="77777777" w:rsidR="005D4A1B" w:rsidRDefault="005D4A1B">
      <w:pPr>
        <w:tabs>
          <w:tab w:val="left" w:pos="720"/>
          <w:tab w:val="left" w:pos="1656"/>
        </w:tabs>
        <w:jc w:val="both"/>
        <w:rPr>
          <w:rStyle w:val="PageNumber"/>
        </w:rPr>
      </w:pPr>
    </w:p>
    <w:p w14:paraId="0C5384E9" w14:textId="77777777" w:rsidR="005D4A1B" w:rsidRDefault="00000000">
      <w:pPr>
        <w:tabs>
          <w:tab w:val="left" w:pos="720"/>
          <w:tab w:val="left" w:pos="1656"/>
        </w:tabs>
        <w:jc w:val="both"/>
      </w:pPr>
      <w:r>
        <w:rPr>
          <w:rStyle w:val="PageNumber"/>
        </w:rPr>
        <w:t>Policy application:</w:t>
      </w:r>
    </w:p>
    <w:p w14:paraId="7B1E8D19" w14:textId="77777777" w:rsidR="005D4A1B" w:rsidRDefault="00000000">
      <w:pPr>
        <w:tabs>
          <w:tab w:val="left" w:pos="720"/>
          <w:tab w:val="left" w:pos="1656"/>
        </w:tabs>
        <w:jc w:val="both"/>
      </w:pPr>
      <w:r>
        <w:rPr>
          <w:rStyle w:val="PageNumber"/>
        </w:rPr>
        <w:tab/>
        <w:t>Thomas Sargent, “The Ends of Four Big Inflations”, 1982</w:t>
      </w:r>
    </w:p>
    <w:p w14:paraId="5E17E999" w14:textId="3AD38E1B" w:rsidR="005D4A1B" w:rsidRDefault="00000000">
      <w:pPr>
        <w:tabs>
          <w:tab w:val="left" w:pos="720"/>
          <w:tab w:val="left" w:pos="1656"/>
        </w:tabs>
        <w:jc w:val="both"/>
        <w:rPr>
          <w:rStyle w:val="PageNumber"/>
        </w:rPr>
      </w:pPr>
      <w:r>
        <w:rPr>
          <w:rStyle w:val="PageNumber"/>
        </w:rPr>
        <w:tab/>
        <w:t>(</w:t>
      </w:r>
      <w:r w:rsidR="00CE7D49">
        <w:rPr>
          <w:rStyle w:val="PageNumber"/>
        </w:rPr>
        <w:fldChar w:fldCharType="begin"/>
      </w:r>
      <w:r w:rsidR="00CE7D49">
        <w:rPr>
          <w:rStyle w:val="PageNumber"/>
        </w:rPr>
        <w:instrText xml:space="preserve"> HYPERLINK "http://www.nber.org/chapters/c11452.pdf" </w:instrText>
      </w:r>
      <w:r w:rsidR="00CE7D49">
        <w:rPr>
          <w:rStyle w:val="PageNumber"/>
        </w:rPr>
        <w:fldChar w:fldCharType="separate"/>
      </w:r>
      <w:r w:rsidR="00CE7D49" w:rsidRPr="0041723B">
        <w:rPr>
          <w:rStyle w:val="Hyperlink"/>
        </w:rPr>
        <w:t>http://www.nber.org/chapters/c11452.pdf</w:t>
      </w:r>
      <w:r w:rsidR="00CE7D49">
        <w:rPr>
          <w:rStyle w:val="PageNumber"/>
        </w:rPr>
        <w:fldChar w:fldCharType="end"/>
      </w:r>
      <w:r>
        <w:rPr>
          <w:rStyle w:val="PageNumber"/>
        </w:rPr>
        <w:t>)</w:t>
      </w:r>
    </w:p>
    <w:p w14:paraId="12878BDD" w14:textId="6211A299" w:rsidR="00CE7D49" w:rsidRPr="00992871" w:rsidRDefault="00CE7D49" w:rsidP="00992871">
      <w:pPr>
        <w:tabs>
          <w:tab w:val="left" w:pos="720"/>
          <w:tab w:val="left" w:pos="1656"/>
        </w:tabs>
        <w:ind w:left="709"/>
        <w:jc w:val="both"/>
      </w:pPr>
      <w:r>
        <w:rPr>
          <w:rStyle w:val="PageNumber"/>
        </w:rPr>
        <w:tab/>
      </w:r>
      <w:r>
        <w:rPr>
          <w:rStyle w:val="PageNumber"/>
          <w:lang w:val="en-US"/>
        </w:rPr>
        <w:t xml:space="preserve">Marek </w:t>
      </w:r>
      <w:proofErr w:type="spellStart"/>
      <w:r>
        <w:rPr>
          <w:rStyle w:val="PageNumber"/>
          <w:lang w:val="en-US"/>
        </w:rPr>
        <w:t>Dambrowski</w:t>
      </w:r>
      <w:proofErr w:type="spellEnd"/>
      <w:r>
        <w:rPr>
          <w:rStyle w:val="PageNumber"/>
          <w:lang w:val="en-US"/>
        </w:rPr>
        <w:t xml:space="preserve">, </w:t>
      </w:r>
      <w:r w:rsidR="005741A3">
        <w:rPr>
          <w:rStyle w:val="PageNumber"/>
          <w:lang w:val="en-US"/>
        </w:rPr>
        <w:t>“</w:t>
      </w:r>
      <w:r w:rsidRPr="00CE7D49">
        <w:t>Central banks have been too slow in responding to higher</w:t>
      </w:r>
      <w:r w:rsidR="005741A3">
        <w:rPr>
          <w:lang w:val="en-US"/>
        </w:rPr>
        <w:t xml:space="preserve"> </w:t>
      </w:r>
      <w:r w:rsidRPr="00CE7D49">
        <w:t>inflation</w:t>
      </w:r>
      <w:r w:rsidR="005741A3">
        <w:rPr>
          <w:lang w:val="en-US"/>
        </w:rPr>
        <w:t>”</w:t>
      </w:r>
      <w:r>
        <w:rPr>
          <w:lang w:val="en-US"/>
        </w:rPr>
        <w:t>, 2022</w:t>
      </w:r>
    </w:p>
    <w:p w14:paraId="039A7F8A" w14:textId="096817DB" w:rsidR="00CE7D49" w:rsidRPr="00992871" w:rsidRDefault="00CE7D49" w:rsidP="00992871">
      <w:pPr>
        <w:tabs>
          <w:tab w:val="left" w:pos="720"/>
          <w:tab w:val="left" w:pos="1656"/>
        </w:tabs>
        <w:ind w:left="709"/>
        <w:jc w:val="both"/>
        <w:rPr>
          <w:lang w:val="en-US"/>
        </w:rPr>
      </w:pPr>
      <w:r>
        <w:rPr>
          <w:lang w:val="en-US"/>
        </w:rPr>
        <w:t>(</w:t>
      </w:r>
      <w:r w:rsidRPr="00CE7D49">
        <w:rPr>
          <w:lang w:val="en-US"/>
        </w:rPr>
        <w:t>https://www.bruegel.org/comment/central-banks-have-been-too-slow-responding-higher-inflation</w:t>
      </w:r>
      <w:r>
        <w:rPr>
          <w:rStyle w:val="PageNumber"/>
          <w:lang w:val="en-US"/>
        </w:rPr>
        <w:t>)</w:t>
      </w:r>
    </w:p>
    <w:p w14:paraId="1D87D52A" w14:textId="77777777" w:rsidR="00CE7D49" w:rsidRDefault="00CE7D49">
      <w:pPr>
        <w:tabs>
          <w:tab w:val="left" w:pos="720"/>
          <w:tab w:val="left" w:pos="1656"/>
        </w:tabs>
        <w:jc w:val="both"/>
      </w:pPr>
    </w:p>
    <w:p w14:paraId="2685307E" w14:textId="77777777" w:rsidR="005D4A1B" w:rsidRDefault="005D4A1B">
      <w:pPr>
        <w:tabs>
          <w:tab w:val="left" w:pos="720"/>
          <w:tab w:val="left" w:pos="1656"/>
        </w:tabs>
        <w:jc w:val="both"/>
        <w:rPr>
          <w:rStyle w:val="PageNumber"/>
        </w:rPr>
      </w:pPr>
    </w:p>
    <w:p w14:paraId="5EA21F2C" w14:textId="77777777" w:rsidR="005D4A1B" w:rsidRDefault="00000000">
      <w:pPr>
        <w:tabs>
          <w:tab w:val="left" w:pos="720"/>
          <w:tab w:val="left" w:pos="1656"/>
        </w:tabs>
        <w:jc w:val="both"/>
        <w:rPr>
          <w:rStyle w:val="PageNumber"/>
        </w:rPr>
      </w:pPr>
      <w:r>
        <w:rPr>
          <w:b/>
          <w:bCs/>
        </w:rPr>
        <w:t xml:space="preserve">Week </w:t>
      </w:r>
      <w:r>
        <w:rPr>
          <w:b/>
          <w:bCs/>
          <w:lang w:val="en-US"/>
        </w:rPr>
        <w:t>6</w:t>
      </w:r>
      <w:r>
        <w:rPr>
          <w:b/>
          <w:bCs/>
        </w:rPr>
        <w:t xml:space="preserve"> – </w:t>
      </w:r>
      <w:r>
        <w:rPr>
          <w:b/>
          <w:bCs/>
          <w:lang w:val="en-US"/>
        </w:rPr>
        <w:t>The Open Economy</w:t>
      </w:r>
    </w:p>
    <w:p w14:paraId="0C92CD2E" w14:textId="77777777" w:rsidR="005D4A1B" w:rsidRDefault="005D4A1B">
      <w:pPr>
        <w:tabs>
          <w:tab w:val="left" w:pos="720"/>
          <w:tab w:val="left" w:pos="1656"/>
        </w:tabs>
        <w:jc w:val="both"/>
      </w:pPr>
    </w:p>
    <w:p w14:paraId="76D60A4A" w14:textId="77777777" w:rsidR="005D4A1B" w:rsidRDefault="00000000">
      <w:pPr>
        <w:tabs>
          <w:tab w:val="left" w:pos="720"/>
          <w:tab w:val="left" w:pos="1656"/>
        </w:tabs>
        <w:jc w:val="both"/>
      </w:pPr>
      <w:r>
        <w:rPr>
          <w:rStyle w:val="PageNumber"/>
        </w:rPr>
        <w:t xml:space="preserve">Required: </w:t>
      </w:r>
    </w:p>
    <w:p w14:paraId="0C55BC03" w14:textId="77777777" w:rsidR="005D4A1B" w:rsidRDefault="00000000">
      <w:pPr>
        <w:tabs>
          <w:tab w:val="left" w:pos="720"/>
          <w:tab w:val="left" w:pos="1656"/>
        </w:tabs>
        <w:jc w:val="both"/>
      </w:pPr>
      <w:r>
        <w:tab/>
        <w:t xml:space="preserve">Mankiw, Chapter “The </w:t>
      </w:r>
      <w:r>
        <w:rPr>
          <w:lang w:val="en-US"/>
        </w:rPr>
        <w:t>Open Economy”</w:t>
      </w:r>
    </w:p>
    <w:p w14:paraId="501A6DC5" w14:textId="77777777" w:rsidR="005D4A1B" w:rsidRDefault="005D4A1B">
      <w:pPr>
        <w:tabs>
          <w:tab w:val="left" w:pos="720"/>
          <w:tab w:val="left" w:pos="1656"/>
        </w:tabs>
        <w:jc w:val="both"/>
      </w:pPr>
    </w:p>
    <w:p w14:paraId="20F1FEA0" w14:textId="77777777" w:rsidR="005D4A1B" w:rsidRDefault="00000000">
      <w:pPr>
        <w:widowControl w:val="0"/>
        <w:tabs>
          <w:tab w:val="left" w:pos="720"/>
          <w:tab w:val="left" w:pos="1656"/>
        </w:tabs>
        <w:jc w:val="both"/>
      </w:pPr>
      <w:r>
        <w:rPr>
          <w:rStyle w:val="PageNumber"/>
        </w:rPr>
        <w:t xml:space="preserve">Recommended: </w:t>
      </w:r>
    </w:p>
    <w:p w14:paraId="7EC214B7" w14:textId="77777777" w:rsidR="005D4A1B" w:rsidRDefault="00000000">
      <w:pPr>
        <w:tabs>
          <w:tab w:val="left" w:pos="720"/>
          <w:tab w:val="left" w:pos="1656"/>
        </w:tabs>
        <w:jc w:val="both"/>
        <w:rPr>
          <w:lang w:val="en-US"/>
        </w:rPr>
      </w:pPr>
      <w:r>
        <w:tab/>
      </w:r>
      <w:proofErr w:type="spellStart"/>
      <w:r>
        <w:rPr>
          <w:lang w:val="en-US"/>
        </w:rPr>
        <w:t>Borjas</w:t>
      </w:r>
      <w:proofErr w:type="spellEnd"/>
      <w:r>
        <w:rPr>
          <w:lang w:val="en-US"/>
        </w:rPr>
        <w:t>, Chapter 13</w:t>
      </w:r>
    </w:p>
    <w:p w14:paraId="76A1B374" w14:textId="77777777" w:rsidR="005D4A1B" w:rsidRDefault="005D4A1B">
      <w:pPr>
        <w:tabs>
          <w:tab w:val="left" w:pos="720"/>
          <w:tab w:val="left" w:pos="1656"/>
        </w:tabs>
        <w:jc w:val="both"/>
        <w:rPr>
          <w:lang w:val="en-US"/>
        </w:rPr>
      </w:pPr>
    </w:p>
    <w:p w14:paraId="346E5676" w14:textId="77777777" w:rsidR="005D4A1B" w:rsidRDefault="005D4A1B">
      <w:pPr>
        <w:tabs>
          <w:tab w:val="left" w:pos="720"/>
          <w:tab w:val="left" w:pos="1656"/>
        </w:tabs>
        <w:jc w:val="both"/>
        <w:rPr>
          <w:lang w:val="en-US"/>
        </w:rPr>
      </w:pPr>
    </w:p>
    <w:p w14:paraId="07F7C74F" w14:textId="77777777" w:rsidR="005D4A1B" w:rsidRDefault="00000000">
      <w:pPr>
        <w:tabs>
          <w:tab w:val="left" w:pos="720"/>
          <w:tab w:val="left" w:pos="1656"/>
        </w:tabs>
        <w:jc w:val="both"/>
        <w:rPr>
          <w:rStyle w:val="Strong"/>
        </w:rPr>
      </w:pPr>
      <w:r>
        <w:rPr>
          <w:rStyle w:val="Strong"/>
        </w:rPr>
        <w:t xml:space="preserve">Week 7 – Policy Lab </w:t>
      </w:r>
    </w:p>
    <w:p w14:paraId="47A5DE64" w14:textId="77777777" w:rsidR="005D4A1B" w:rsidRDefault="005D4A1B">
      <w:pPr>
        <w:tabs>
          <w:tab w:val="left" w:pos="720"/>
          <w:tab w:val="left" w:pos="1656"/>
        </w:tabs>
        <w:jc w:val="both"/>
      </w:pPr>
    </w:p>
    <w:p w14:paraId="4151811D" w14:textId="77777777" w:rsidR="005D4A1B" w:rsidRDefault="00000000">
      <w:pPr>
        <w:tabs>
          <w:tab w:val="left" w:pos="720"/>
          <w:tab w:val="left" w:pos="1656"/>
        </w:tabs>
        <w:jc w:val="both"/>
        <w:rPr>
          <w:rStyle w:val="PageNumber"/>
        </w:rPr>
      </w:pPr>
      <w:r>
        <w:rPr>
          <w:rStyle w:val="PageNumber"/>
        </w:rPr>
        <w:t>Policy brief workshop</w:t>
      </w:r>
    </w:p>
    <w:p w14:paraId="6ED306C1" w14:textId="77777777" w:rsidR="005D4A1B" w:rsidRDefault="005D4A1B">
      <w:pPr>
        <w:tabs>
          <w:tab w:val="left" w:pos="720"/>
          <w:tab w:val="left" w:pos="1656"/>
        </w:tabs>
        <w:jc w:val="both"/>
        <w:rPr>
          <w:rStyle w:val="PageNumber"/>
          <w:b/>
          <w:bCs/>
        </w:rPr>
      </w:pPr>
    </w:p>
    <w:p w14:paraId="30B7166C" w14:textId="77777777" w:rsidR="005D4A1B" w:rsidRDefault="005D4A1B">
      <w:pPr>
        <w:tabs>
          <w:tab w:val="left" w:pos="720"/>
          <w:tab w:val="left" w:pos="1656"/>
        </w:tabs>
        <w:jc w:val="both"/>
        <w:rPr>
          <w:b/>
          <w:bCs/>
        </w:rPr>
      </w:pPr>
    </w:p>
    <w:p w14:paraId="7AE3EDE5" w14:textId="77777777" w:rsidR="005D4A1B" w:rsidRDefault="00000000">
      <w:pPr>
        <w:tabs>
          <w:tab w:val="left" w:pos="720"/>
          <w:tab w:val="left" w:pos="1656"/>
        </w:tabs>
        <w:jc w:val="both"/>
        <w:rPr>
          <w:rStyle w:val="Strong"/>
        </w:rPr>
      </w:pPr>
      <w:r>
        <w:rPr>
          <w:b/>
          <w:bCs/>
        </w:rPr>
        <w:t xml:space="preserve">Week </w:t>
      </w:r>
      <w:r>
        <w:rPr>
          <w:b/>
          <w:bCs/>
          <w:lang w:val="en-US"/>
        </w:rPr>
        <w:t>8</w:t>
      </w:r>
      <w:r>
        <w:rPr>
          <w:b/>
          <w:bCs/>
        </w:rPr>
        <w:t xml:space="preserve"> –</w:t>
      </w:r>
      <w:r>
        <w:rPr>
          <w:b/>
          <w:bCs/>
          <w:lang w:val="en-US"/>
        </w:rPr>
        <w:t xml:space="preserve"> The Labor Market</w:t>
      </w:r>
    </w:p>
    <w:p w14:paraId="152A6108" w14:textId="77777777" w:rsidR="005D4A1B" w:rsidRDefault="005D4A1B">
      <w:pPr>
        <w:tabs>
          <w:tab w:val="left" w:pos="720"/>
          <w:tab w:val="left" w:pos="1656"/>
        </w:tabs>
        <w:jc w:val="both"/>
      </w:pPr>
    </w:p>
    <w:p w14:paraId="15D926AF" w14:textId="77777777" w:rsidR="005D4A1B" w:rsidRDefault="00000000">
      <w:pPr>
        <w:tabs>
          <w:tab w:val="left" w:pos="720"/>
          <w:tab w:val="left" w:pos="1656"/>
        </w:tabs>
        <w:jc w:val="both"/>
      </w:pPr>
      <w:r>
        <w:rPr>
          <w:rStyle w:val="PageNumber"/>
        </w:rPr>
        <w:lastRenderedPageBreak/>
        <w:t xml:space="preserve">Required: </w:t>
      </w:r>
    </w:p>
    <w:p w14:paraId="46ADB295" w14:textId="77777777" w:rsidR="005D4A1B" w:rsidRDefault="00000000">
      <w:pPr>
        <w:tabs>
          <w:tab w:val="left" w:pos="720"/>
          <w:tab w:val="left" w:pos="1656"/>
        </w:tabs>
        <w:jc w:val="both"/>
      </w:pPr>
      <w:r>
        <w:tab/>
        <w:t>Mankiw, Chapter “</w:t>
      </w:r>
      <w:r>
        <w:rPr>
          <w:lang w:val="en-US"/>
        </w:rPr>
        <w:t>Unemployment and the Labor Market”</w:t>
      </w:r>
    </w:p>
    <w:p w14:paraId="10A8E203" w14:textId="77777777" w:rsidR="005D4A1B" w:rsidRDefault="005D4A1B">
      <w:pPr>
        <w:tabs>
          <w:tab w:val="left" w:pos="720"/>
          <w:tab w:val="left" w:pos="1656"/>
        </w:tabs>
        <w:jc w:val="both"/>
      </w:pPr>
    </w:p>
    <w:p w14:paraId="39F34570" w14:textId="77777777" w:rsidR="005D4A1B" w:rsidRDefault="00000000">
      <w:pPr>
        <w:tabs>
          <w:tab w:val="left" w:pos="720"/>
          <w:tab w:val="left" w:pos="1656"/>
        </w:tabs>
        <w:jc w:val="both"/>
      </w:pPr>
      <w:r>
        <w:rPr>
          <w:rStyle w:val="PageNumber"/>
        </w:rPr>
        <w:t xml:space="preserve">Recommended: </w:t>
      </w:r>
      <w:r>
        <w:rPr>
          <w:rStyle w:val="PageNumber"/>
        </w:rPr>
        <w:tab/>
      </w:r>
    </w:p>
    <w:p w14:paraId="44BBA3F1" w14:textId="77777777" w:rsidR="005D4A1B" w:rsidRDefault="00000000">
      <w:pPr>
        <w:tabs>
          <w:tab w:val="left" w:pos="720"/>
          <w:tab w:val="left" w:pos="1656"/>
        </w:tabs>
        <w:jc w:val="both"/>
      </w:pPr>
      <w:r>
        <w:tab/>
      </w:r>
      <w:r>
        <w:rPr>
          <w:lang w:val="en-US"/>
        </w:rPr>
        <w:t>Miles and Scott, Chapter 3</w:t>
      </w:r>
      <w:r>
        <w:tab/>
      </w:r>
    </w:p>
    <w:p w14:paraId="6D8D2E9D" w14:textId="77777777" w:rsidR="005D4A1B" w:rsidRDefault="005D4A1B">
      <w:pPr>
        <w:tabs>
          <w:tab w:val="left" w:pos="720"/>
          <w:tab w:val="left" w:pos="1656"/>
        </w:tabs>
        <w:jc w:val="both"/>
        <w:rPr>
          <w:b/>
          <w:bCs/>
        </w:rPr>
      </w:pPr>
    </w:p>
    <w:p w14:paraId="5C42239C" w14:textId="77777777" w:rsidR="005D4A1B" w:rsidRDefault="005D4A1B">
      <w:pPr>
        <w:tabs>
          <w:tab w:val="left" w:pos="720"/>
          <w:tab w:val="left" w:pos="1656"/>
        </w:tabs>
        <w:jc w:val="both"/>
        <w:rPr>
          <w:b/>
          <w:bCs/>
        </w:rPr>
      </w:pPr>
    </w:p>
    <w:p w14:paraId="705D0B22" w14:textId="77777777" w:rsidR="005D4A1B" w:rsidRDefault="00000000">
      <w:pPr>
        <w:tabs>
          <w:tab w:val="left" w:pos="720"/>
          <w:tab w:val="left" w:pos="1656"/>
        </w:tabs>
        <w:jc w:val="both"/>
        <w:rPr>
          <w:rStyle w:val="Strong"/>
        </w:rPr>
      </w:pPr>
      <w:r>
        <w:rPr>
          <w:rStyle w:val="Strong"/>
        </w:rPr>
        <w:t xml:space="preserve">Week </w:t>
      </w:r>
      <w:r>
        <w:rPr>
          <w:rStyle w:val="Strong"/>
          <w:lang w:val="en-US"/>
        </w:rPr>
        <w:t>9</w:t>
      </w:r>
      <w:r>
        <w:rPr>
          <w:rStyle w:val="Strong"/>
        </w:rPr>
        <w:t xml:space="preserve"> – </w:t>
      </w:r>
      <w:r>
        <w:rPr>
          <w:b/>
          <w:bCs/>
        </w:rPr>
        <w:t>Economic growth and living standards in the long-run</w:t>
      </w:r>
    </w:p>
    <w:p w14:paraId="3C811408" w14:textId="77777777" w:rsidR="005D4A1B" w:rsidRDefault="005D4A1B">
      <w:pPr>
        <w:tabs>
          <w:tab w:val="left" w:pos="720"/>
          <w:tab w:val="left" w:pos="1656"/>
        </w:tabs>
        <w:jc w:val="both"/>
        <w:rPr>
          <w:b/>
          <w:bCs/>
        </w:rPr>
      </w:pPr>
    </w:p>
    <w:p w14:paraId="3EEA5A56" w14:textId="77777777" w:rsidR="005D4A1B" w:rsidRDefault="00000000">
      <w:pPr>
        <w:tabs>
          <w:tab w:val="left" w:pos="720"/>
          <w:tab w:val="left" w:pos="1656"/>
        </w:tabs>
        <w:jc w:val="both"/>
      </w:pPr>
      <w:r>
        <w:rPr>
          <w:rStyle w:val="PageNumber"/>
        </w:rPr>
        <w:t>Required:</w:t>
      </w:r>
    </w:p>
    <w:p w14:paraId="3F987081" w14:textId="77777777" w:rsidR="005D4A1B" w:rsidRDefault="00000000">
      <w:pPr>
        <w:tabs>
          <w:tab w:val="left" w:pos="720"/>
          <w:tab w:val="left" w:pos="1656"/>
        </w:tabs>
        <w:jc w:val="both"/>
        <w:rPr>
          <w:rStyle w:val="PageNumber"/>
        </w:rPr>
      </w:pPr>
      <w:r>
        <w:rPr>
          <w:b/>
          <w:bCs/>
        </w:rPr>
        <w:tab/>
      </w:r>
      <w:r>
        <w:t>Mankiw, Chapter “Capital Accumulation as a Source of Growth</w:t>
      </w:r>
      <w:r>
        <w:rPr>
          <w:lang w:val="en-US"/>
        </w:rPr>
        <w:t>”</w:t>
      </w:r>
    </w:p>
    <w:p w14:paraId="5620E7D8" w14:textId="77777777" w:rsidR="005D4A1B" w:rsidRDefault="00000000">
      <w:pPr>
        <w:tabs>
          <w:tab w:val="left" w:pos="720"/>
          <w:tab w:val="left" w:pos="1656"/>
        </w:tabs>
        <w:jc w:val="both"/>
        <w:rPr>
          <w:rStyle w:val="PageNumber"/>
        </w:rPr>
      </w:pPr>
      <w:r>
        <w:rPr>
          <w:b/>
          <w:bCs/>
        </w:rPr>
        <w:tab/>
      </w:r>
      <w:r>
        <w:t>Mankiw, Chapter “Population Growth and Technological Progress</w:t>
      </w:r>
      <w:r>
        <w:rPr>
          <w:lang w:val="en-US"/>
        </w:rPr>
        <w:t>” (selected sections)</w:t>
      </w:r>
    </w:p>
    <w:p w14:paraId="476B2149" w14:textId="77777777" w:rsidR="005D4A1B" w:rsidRDefault="005D4A1B">
      <w:pPr>
        <w:tabs>
          <w:tab w:val="left" w:pos="720"/>
          <w:tab w:val="left" w:pos="1656"/>
        </w:tabs>
        <w:jc w:val="both"/>
        <w:rPr>
          <w:b/>
          <w:bCs/>
        </w:rPr>
      </w:pPr>
    </w:p>
    <w:p w14:paraId="73E8C2DC" w14:textId="77777777" w:rsidR="005D4A1B" w:rsidRDefault="00000000">
      <w:pPr>
        <w:tabs>
          <w:tab w:val="left" w:pos="720"/>
          <w:tab w:val="left" w:pos="1656"/>
        </w:tabs>
        <w:jc w:val="both"/>
        <w:rPr>
          <w:rStyle w:val="PageNumber"/>
        </w:rPr>
      </w:pPr>
      <w:r>
        <w:t>Recommended</w:t>
      </w:r>
      <w:r>
        <w:rPr>
          <w:lang w:val="en-US"/>
        </w:rPr>
        <w:t>:</w:t>
      </w:r>
    </w:p>
    <w:p w14:paraId="43886DDA" w14:textId="77777777" w:rsidR="005D4A1B" w:rsidRDefault="005D4A1B">
      <w:pPr>
        <w:tabs>
          <w:tab w:val="left" w:pos="720"/>
          <w:tab w:val="left" w:pos="1656"/>
        </w:tabs>
        <w:jc w:val="both"/>
      </w:pPr>
    </w:p>
    <w:p w14:paraId="63EB2ED1" w14:textId="77777777" w:rsidR="005D4A1B" w:rsidRDefault="005D4A1B">
      <w:pPr>
        <w:tabs>
          <w:tab w:val="left" w:pos="720"/>
          <w:tab w:val="left" w:pos="1656"/>
        </w:tabs>
        <w:jc w:val="both"/>
        <w:rPr>
          <w:b/>
          <w:bCs/>
        </w:rPr>
      </w:pPr>
    </w:p>
    <w:p w14:paraId="506FF3F9" w14:textId="77777777" w:rsidR="005D4A1B" w:rsidRDefault="00000000">
      <w:pPr>
        <w:tabs>
          <w:tab w:val="left" w:pos="720"/>
          <w:tab w:val="left" w:pos="1656"/>
        </w:tabs>
        <w:jc w:val="both"/>
        <w:rPr>
          <w:rStyle w:val="Strong"/>
        </w:rPr>
      </w:pPr>
      <w:r>
        <w:rPr>
          <w:b/>
          <w:bCs/>
        </w:rPr>
        <w:t xml:space="preserve">Week </w:t>
      </w:r>
      <w:r>
        <w:rPr>
          <w:b/>
          <w:bCs/>
          <w:lang w:val="en-US"/>
        </w:rPr>
        <w:t>10</w:t>
      </w:r>
      <w:r>
        <w:rPr>
          <w:b/>
          <w:bCs/>
        </w:rPr>
        <w:t xml:space="preserve"> – </w:t>
      </w:r>
      <w:r>
        <w:rPr>
          <w:b/>
          <w:bCs/>
          <w:lang w:val="en-US"/>
        </w:rPr>
        <w:t>The Business Cycle</w:t>
      </w:r>
    </w:p>
    <w:p w14:paraId="71EF6E72" w14:textId="77777777" w:rsidR="005D4A1B" w:rsidRDefault="005D4A1B">
      <w:pPr>
        <w:tabs>
          <w:tab w:val="left" w:pos="720"/>
          <w:tab w:val="left" w:pos="1656"/>
        </w:tabs>
        <w:jc w:val="both"/>
      </w:pPr>
    </w:p>
    <w:p w14:paraId="096D0733" w14:textId="77777777" w:rsidR="005D4A1B" w:rsidRDefault="00000000">
      <w:pPr>
        <w:tabs>
          <w:tab w:val="left" w:pos="720"/>
          <w:tab w:val="left" w:pos="1656"/>
        </w:tabs>
        <w:jc w:val="both"/>
      </w:pPr>
      <w:r>
        <w:rPr>
          <w:rStyle w:val="PageNumber"/>
        </w:rPr>
        <w:t xml:space="preserve">Required: </w:t>
      </w:r>
    </w:p>
    <w:p w14:paraId="36B9E5B4" w14:textId="77777777" w:rsidR="005D4A1B" w:rsidRDefault="00000000">
      <w:pPr>
        <w:tabs>
          <w:tab w:val="left" w:pos="720"/>
          <w:tab w:val="left" w:pos="1656"/>
        </w:tabs>
        <w:jc w:val="both"/>
      </w:pPr>
      <w:r>
        <w:rPr>
          <w:rStyle w:val="PageNumber"/>
        </w:rPr>
        <w:tab/>
        <w:t>Mankiw, Chapter “Introduction to Economic Fluctuations”</w:t>
      </w:r>
    </w:p>
    <w:p w14:paraId="14ADEA62" w14:textId="77777777" w:rsidR="005D4A1B" w:rsidRDefault="00000000">
      <w:pPr>
        <w:tabs>
          <w:tab w:val="left" w:pos="720"/>
          <w:tab w:val="left" w:pos="1656"/>
        </w:tabs>
        <w:jc w:val="both"/>
      </w:pPr>
      <w:r>
        <w:rPr>
          <w:lang w:val="en-US"/>
        </w:rPr>
        <w:tab/>
      </w:r>
      <w:r>
        <w:t>Mankiw, Chapter “Aggregate Demand I: Building the IS–LM Model”</w:t>
      </w:r>
    </w:p>
    <w:p w14:paraId="6F0569B8" w14:textId="77777777" w:rsidR="005D4A1B" w:rsidRDefault="005D4A1B">
      <w:pPr>
        <w:tabs>
          <w:tab w:val="left" w:pos="720"/>
          <w:tab w:val="left" w:pos="1656"/>
        </w:tabs>
        <w:jc w:val="both"/>
      </w:pPr>
    </w:p>
    <w:p w14:paraId="3DB5B9EB" w14:textId="77777777" w:rsidR="005D4A1B" w:rsidRDefault="005D4A1B">
      <w:pPr>
        <w:tabs>
          <w:tab w:val="left" w:pos="720"/>
          <w:tab w:val="left" w:pos="1656"/>
        </w:tabs>
        <w:jc w:val="both"/>
      </w:pPr>
    </w:p>
    <w:p w14:paraId="7FAA52CB" w14:textId="77777777" w:rsidR="005D4A1B" w:rsidRDefault="005D4A1B">
      <w:pPr>
        <w:tabs>
          <w:tab w:val="left" w:pos="720"/>
          <w:tab w:val="left" w:pos="1656"/>
        </w:tabs>
        <w:jc w:val="both"/>
        <w:rPr>
          <w:b/>
          <w:bCs/>
        </w:rPr>
      </w:pPr>
    </w:p>
    <w:p w14:paraId="44374190" w14:textId="77777777" w:rsidR="005D4A1B" w:rsidRDefault="00000000">
      <w:pPr>
        <w:tabs>
          <w:tab w:val="left" w:pos="720"/>
          <w:tab w:val="left" w:pos="1656"/>
        </w:tabs>
        <w:jc w:val="both"/>
        <w:rPr>
          <w:rStyle w:val="Strong"/>
        </w:rPr>
      </w:pPr>
      <w:r>
        <w:rPr>
          <w:b/>
          <w:bCs/>
        </w:rPr>
        <w:t xml:space="preserve">Week </w:t>
      </w:r>
      <w:r>
        <w:rPr>
          <w:b/>
          <w:bCs/>
          <w:lang w:val="en-US"/>
        </w:rPr>
        <w:t>11</w:t>
      </w:r>
      <w:r>
        <w:rPr>
          <w:b/>
          <w:bCs/>
        </w:rPr>
        <w:t xml:space="preserve"> – </w:t>
      </w:r>
      <w:r>
        <w:rPr>
          <w:b/>
          <w:bCs/>
          <w:lang w:val="en-US"/>
        </w:rPr>
        <w:t>Stabilization Policy</w:t>
      </w:r>
    </w:p>
    <w:p w14:paraId="16DB090E" w14:textId="77777777" w:rsidR="005D4A1B" w:rsidRDefault="005D4A1B">
      <w:pPr>
        <w:tabs>
          <w:tab w:val="left" w:pos="720"/>
          <w:tab w:val="left" w:pos="1656"/>
        </w:tabs>
        <w:jc w:val="both"/>
      </w:pPr>
    </w:p>
    <w:p w14:paraId="6BF72C75" w14:textId="77777777" w:rsidR="005D4A1B" w:rsidRDefault="00000000">
      <w:pPr>
        <w:tabs>
          <w:tab w:val="left" w:pos="720"/>
          <w:tab w:val="left" w:pos="1656"/>
        </w:tabs>
        <w:jc w:val="both"/>
      </w:pPr>
      <w:r>
        <w:rPr>
          <w:rStyle w:val="PageNumber"/>
        </w:rPr>
        <w:t xml:space="preserve">Required: </w:t>
      </w:r>
    </w:p>
    <w:p w14:paraId="0471848F" w14:textId="77777777" w:rsidR="005D4A1B" w:rsidRDefault="00000000">
      <w:pPr>
        <w:tabs>
          <w:tab w:val="left" w:pos="720"/>
          <w:tab w:val="left" w:pos="1656"/>
        </w:tabs>
        <w:jc w:val="both"/>
      </w:pPr>
      <w:r>
        <w:rPr>
          <w:rStyle w:val="PageNumber"/>
        </w:rPr>
        <w:tab/>
        <w:t>Mankiw, Chapter “Aggregate Demand II: Applying the IS–LM Model”</w:t>
      </w:r>
    </w:p>
    <w:p w14:paraId="11F725C3" w14:textId="77777777" w:rsidR="005D4A1B" w:rsidRDefault="00000000">
      <w:pPr>
        <w:tabs>
          <w:tab w:val="left" w:pos="720"/>
          <w:tab w:val="left" w:pos="1656"/>
        </w:tabs>
        <w:jc w:val="both"/>
        <w:rPr>
          <w:rStyle w:val="PageNumber"/>
        </w:rPr>
      </w:pPr>
      <w:r>
        <w:tab/>
        <w:t>Mankiw, Chapter “Alternative Perspectives on Stabilization Policy”</w:t>
      </w:r>
      <w:r>
        <w:rPr>
          <w:lang w:val="en-US"/>
        </w:rPr>
        <w:t xml:space="preserve"> (selected sections)</w:t>
      </w:r>
    </w:p>
    <w:p w14:paraId="51706C13" w14:textId="77777777" w:rsidR="005D4A1B" w:rsidRDefault="005D4A1B">
      <w:pPr>
        <w:tabs>
          <w:tab w:val="left" w:pos="720"/>
          <w:tab w:val="left" w:pos="1656"/>
        </w:tabs>
        <w:jc w:val="both"/>
      </w:pPr>
    </w:p>
    <w:p w14:paraId="60EF049E" w14:textId="77777777" w:rsidR="005D4A1B" w:rsidRDefault="005D4A1B">
      <w:pPr>
        <w:tabs>
          <w:tab w:val="left" w:pos="720"/>
          <w:tab w:val="left" w:pos="1656"/>
        </w:tabs>
        <w:jc w:val="both"/>
        <w:rPr>
          <w:rStyle w:val="PageNumber"/>
        </w:rPr>
      </w:pPr>
    </w:p>
    <w:p w14:paraId="4C911AEF" w14:textId="77777777" w:rsidR="005D4A1B" w:rsidRDefault="005D4A1B"/>
    <w:p w14:paraId="75C30E20" w14:textId="77777777" w:rsidR="005D4A1B" w:rsidRDefault="00000000">
      <w:pPr>
        <w:pStyle w:val="Heading5"/>
        <w:rPr>
          <w:rStyle w:val="PageNumber"/>
        </w:rPr>
      </w:pPr>
      <w:r>
        <w:t>Week 12</w:t>
      </w:r>
      <w:r>
        <w:rPr>
          <w:lang w:val="en-US"/>
        </w:rPr>
        <w:t xml:space="preserve"> </w:t>
      </w:r>
    </w:p>
    <w:p w14:paraId="5701D085" w14:textId="77777777" w:rsidR="005D4A1B" w:rsidRDefault="00000000">
      <w:pPr>
        <w:tabs>
          <w:tab w:val="left" w:pos="720"/>
          <w:tab w:val="left" w:pos="1656"/>
        </w:tabs>
        <w:jc w:val="both"/>
      </w:pPr>
      <w:r>
        <w:rPr>
          <w:rStyle w:val="PageNumber"/>
        </w:rPr>
        <w:t>Macroeconomic Policy Project: Simulated policy debate (if the pandemic situation permits)</w:t>
      </w:r>
    </w:p>
    <w:sectPr w:rsidR="005D4A1B">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74B7" w14:textId="77777777" w:rsidR="004B61CE" w:rsidRDefault="004B61CE">
      <w:r>
        <w:separator/>
      </w:r>
    </w:p>
  </w:endnote>
  <w:endnote w:type="continuationSeparator" w:id="0">
    <w:p w14:paraId="1112FCD1" w14:textId="77777777" w:rsidR="004B61CE" w:rsidRDefault="004B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0F2" w14:textId="77777777" w:rsidR="005D4A1B" w:rsidRDefault="00000000">
    <w:pPr>
      <w:pStyle w:val="Footer"/>
      <w:tabs>
        <w:tab w:val="clear" w:pos="9406"/>
        <w:tab w:val="right" w:pos="8620"/>
      </w:tabs>
      <w:jc w:val="right"/>
    </w:pPr>
    <w:r>
      <w:fldChar w:fldCharType="begin"/>
    </w:r>
    <w:r>
      <w:instrText xml:space="preserve"> PAGE </w:instrText>
    </w:r>
    <w:r>
      <w:fldChar w:fldCharType="separate"/>
    </w:r>
    <w:r w:rsidR="001641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406" w14:textId="77777777" w:rsidR="004B61CE" w:rsidRDefault="004B61CE">
      <w:r>
        <w:separator/>
      </w:r>
    </w:p>
  </w:footnote>
  <w:footnote w:type="continuationSeparator" w:id="0">
    <w:p w14:paraId="61C03284" w14:textId="77777777" w:rsidR="004B61CE" w:rsidRDefault="004B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C7E3" w14:textId="77777777" w:rsidR="005D4A1B" w:rsidRDefault="005D4A1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49D"/>
    <w:multiLevelType w:val="hybridMultilevel"/>
    <w:tmpl w:val="D390B6CE"/>
    <w:numStyleLink w:val="ImportedStyle2"/>
  </w:abstractNum>
  <w:abstractNum w:abstractNumId="1" w15:restartNumberingAfterBreak="0">
    <w:nsid w:val="0F8104C2"/>
    <w:multiLevelType w:val="hybridMultilevel"/>
    <w:tmpl w:val="6AF6CA86"/>
    <w:styleLink w:val="ImportedStyle1"/>
    <w:lvl w:ilvl="0" w:tplc="2C26F81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0777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44038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F63B38">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0FE7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E85A60">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26E6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0A7338">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E1466AA">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FB67A1"/>
    <w:multiLevelType w:val="hybridMultilevel"/>
    <w:tmpl w:val="D390B6CE"/>
    <w:styleLink w:val="ImportedStyle2"/>
    <w:lvl w:ilvl="0" w:tplc="8110E760">
      <w:start w:val="1"/>
      <w:numFmt w:val="bullet"/>
      <w:lvlText w:val="▪"/>
      <w:lvlJc w:val="left"/>
      <w:pPr>
        <w:tabs>
          <w:tab w:val="num" w:pos="360"/>
          <w:tab w:val="left" w:pos="720"/>
          <w:tab w:val="left" w:pos="1656"/>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18DD5C">
      <w:start w:val="1"/>
      <w:numFmt w:val="bullet"/>
      <w:lvlText w:val="o"/>
      <w:lvlJc w:val="left"/>
      <w:pPr>
        <w:tabs>
          <w:tab w:val="num" w:pos="432"/>
          <w:tab w:val="left" w:pos="720"/>
          <w:tab w:val="left" w:pos="1656"/>
        </w:tabs>
        <w:ind w:left="639" w:hanging="63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784B94A">
      <w:start w:val="1"/>
      <w:numFmt w:val="bullet"/>
      <w:lvlText w:val="▪"/>
      <w:lvlJc w:val="left"/>
      <w:pPr>
        <w:tabs>
          <w:tab w:val="num" w:pos="1512"/>
          <w:tab w:val="left" w:pos="1656"/>
        </w:tabs>
        <w:ind w:left="1719" w:hanging="1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AC95A">
      <w:start w:val="1"/>
      <w:numFmt w:val="bullet"/>
      <w:lvlText w:val="•"/>
      <w:lvlJc w:val="left"/>
      <w:pPr>
        <w:tabs>
          <w:tab w:val="left" w:pos="360"/>
          <w:tab w:val="num" w:pos="1791"/>
        </w:tabs>
        <w:ind w:left="1998" w:hanging="1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40DC8C">
      <w:start w:val="1"/>
      <w:numFmt w:val="bullet"/>
      <w:lvlText w:val="o"/>
      <w:lvlJc w:val="left"/>
      <w:pPr>
        <w:tabs>
          <w:tab w:val="left" w:pos="360"/>
          <w:tab w:val="left" w:pos="720"/>
          <w:tab w:val="num" w:pos="2511"/>
        </w:tabs>
        <w:ind w:left="2718" w:hanging="171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B028E0">
      <w:start w:val="1"/>
      <w:numFmt w:val="bullet"/>
      <w:lvlText w:val="▪"/>
      <w:lvlJc w:val="left"/>
      <w:pPr>
        <w:tabs>
          <w:tab w:val="left" w:pos="360"/>
          <w:tab w:val="left" w:pos="720"/>
          <w:tab w:val="left" w:pos="1656"/>
          <w:tab w:val="num" w:pos="3231"/>
        </w:tabs>
        <w:ind w:left="3438" w:hanging="1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0095FC">
      <w:start w:val="1"/>
      <w:numFmt w:val="bullet"/>
      <w:lvlText w:val="•"/>
      <w:lvlJc w:val="left"/>
      <w:pPr>
        <w:tabs>
          <w:tab w:val="left" w:pos="360"/>
          <w:tab w:val="left" w:pos="720"/>
          <w:tab w:val="left" w:pos="1656"/>
          <w:tab w:val="num" w:pos="3951"/>
        </w:tabs>
        <w:ind w:left="4158" w:hanging="1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2EEBE6">
      <w:start w:val="1"/>
      <w:numFmt w:val="bullet"/>
      <w:lvlText w:val="o"/>
      <w:lvlJc w:val="left"/>
      <w:pPr>
        <w:tabs>
          <w:tab w:val="left" w:pos="360"/>
          <w:tab w:val="left" w:pos="720"/>
          <w:tab w:val="left" w:pos="1656"/>
          <w:tab w:val="num" w:pos="4671"/>
        </w:tabs>
        <w:ind w:left="4878" w:hanging="171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48A664">
      <w:start w:val="1"/>
      <w:numFmt w:val="bullet"/>
      <w:lvlText w:val="▪"/>
      <w:lvlJc w:val="left"/>
      <w:pPr>
        <w:tabs>
          <w:tab w:val="left" w:pos="360"/>
          <w:tab w:val="left" w:pos="720"/>
          <w:tab w:val="left" w:pos="1656"/>
          <w:tab w:val="num" w:pos="5391"/>
        </w:tabs>
        <w:ind w:left="5598" w:hanging="17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5821C8"/>
    <w:multiLevelType w:val="hybridMultilevel"/>
    <w:tmpl w:val="7BA86CAC"/>
    <w:styleLink w:val="ImportedStyle3"/>
    <w:lvl w:ilvl="0" w:tplc="8D4AE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2020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86B5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DE7B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481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CE16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42A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87D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6DC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1E1A73"/>
    <w:multiLevelType w:val="hybridMultilevel"/>
    <w:tmpl w:val="6AF6CA86"/>
    <w:numStyleLink w:val="ImportedStyle1"/>
  </w:abstractNum>
  <w:abstractNum w:abstractNumId="5" w15:restartNumberingAfterBreak="0">
    <w:nsid w:val="7A0909BA"/>
    <w:multiLevelType w:val="hybridMultilevel"/>
    <w:tmpl w:val="7BA86CAC"/>
    <w:numStyleLink w:val="ImportedStyle3"/>
  </w:abstractNum>
  <w:num w:numId="1" w16cid:durableId="1114255793">
    <w:abstractNumId w:val="1"/>
  </w:num>
  <w:num w:numId="2" w16cid:durableId="1154419058">
    <w:abstractNumId w:val="4"/>
  </w:num>
  <w:num w:numId="3" w16cid:durableId="200047489">
    <w:abstractNumId w:val="4"/>
    <w:lvlOverride w:ilvl="0">
      <w:lvl w:ilvl="0" w:tplc="200A8468">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B0B41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6A82F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6A05D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3A11C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F4722A">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E6AD8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EEA9A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C0554A">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579051780">
    <w:abstractNumId w:val="2"/>
  </w:num>
  <w:num w:numId="5" w16cid:durableId="1584796266">
    <w:abstractNumId w:val="0"/>
  </w:num>
  <w:num w:numId="6" w16cid:durableId="2057313441">
    <w:abstractNumId w:val="3"/>
  </w:num>
  <w:num w:numId="7" w16cid:durableId="116722631">
    <w:abstractNumId w:val="5"/>
  </w:num>
  <w:num w:numId="8" w16cid:durableId="2107384284">
    <w:abstractNumId w:val="5"/>
    <w:lvlOverride w:ilvl="0">
      <w:lvl w:ilvl="0" w:tplc="F724B9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AA0B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1C3548">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685DC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CA3F4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92C05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8ACF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527F5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5E844A">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1B"/>
    <w:rsid w:val="000649B9"/>
    <w:rsid w:val="000C7EA7"/>
    <w:rsid w:val="0012579D"/>
    <w:rsid w:val="00164195"/>
    <w:rsid w:val="004B61CE"/>
    <w:rsid w:val="005741A3"/>
    <w:rsid w:val="005D4A1B"/>
    <w:rsid w:val="00992871"/>
    <w:rsid w:val="00CE7D49"/>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09B66435"/>
  <w15:docId w15:val="{F57F11EA-EC89-0B44-8DB2-6FC965E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K"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paragraph" w:styleId="Heading1">
    <w:name w:val="heading 1"/>
    <w:next w:val="Normal"/>
    <w:link w:val="Heading1Char"/>
    <w:uiPriority w:val="9"/>
    <w:qFormat/>
    <w:pPr>
      <w:keepNext/>
      <w:outlineLvl w:val="0"/>
    </w:pPr>
    <w:rPr>
      <w:rFonts w:cs="Arial Unicode MS"/>
      <w:b/>
      <w:bCs/>
      <w:color w:val="000000"/>
      <w:u w:color="000000"/>
      <w14:textOutline w14:w="0" w14:cap="flat" w14:cmpd="sng" w14:algn="ctr">
        <w14:noFill/>
        <w14:prstDash w14:val="solid"/>
        <w14:bevel/>
      </w14:textOutline>
    </w:rPr>
  </w:style>
  <w:style w:type="paragraph" w:styleId="Heading5">
    <w:name w:val="heading 5"/>
    <w:next w:val="Normal"/>
    <w:uiPriority w:val="9"/>
    <w:unhideWhenUsed/>
    <w:qFormat/>
    <w:pPr>
      <w:keepNext/>
      <w:tabs>
        <w:tab w:val="left" w:pos="720"/>
        <w:tab w:val="left" w:pos="1656"/>
      </w:tabs>
      <w:jc w:val="both"/>
      <w:outlineLvl w:val="4"/>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703"/>
        <w:tab w:val="right" w:pos="9406"/>
      </w:tabs>
    </w:pPr>
    <w:rPr>
      <w:rFonts w:cs="Arial Unicode MS"/>
      <w:color w:val="000000"/>
      <w:sz w:val="24"/>
      <w:szCs w:val="24"/>
      <w:u w:color="000000"/>
    </w:rPr>
  </w:style>
  <w:style w:type="character" w:styleId="PageNumber">
    <w:name w:val="page numbe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styleId="PlainText">
    <w:name w:val="Plain Text"/>
    <w:pPr>
      <w:suppressAutoHyphens/>
    </w:pPr>
    <w:rPr>
      <w:rFonts w:ascii="Courier New" w:hAnsi="Courier New"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character" w:styleId="Strong">
    <w:name w:val="Strong"/>
    <w:rPr>
      <w:rFonts w:ascii="Times New Roman" w:hAnsi="Times New Roman"/>
      <w:b/>
      <w:bCs/>
    </w:rPr>
  </w:style>
  <w:style w:type="numbering" w:customStyle="1" w:styleId="ImportedStyle1">
    <w:name w:val="Imported Style 1"/>
    <w:pPr>
      <w:numPr>
        <w:numId w:val="1"/>
      </w:numPr>
    </w:pPr>
  </w:style>
  <w:style w:type="paragraph" w:styleId="BodyText2">
    <w:name w:val="Body Text 2"/>
    <w:pPr>
      <w:jc w:val="both"/>
    </w:pPr>
    <w:rPr>
      <w:rFonts w:eastAsia="Times New Roman"/>
      <w:color w:val="FF0000"/>
      <w:sz w:val="24"/>
      <w:szCs w:val="24"/>
      <w:u w:color="FF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Revision">
    <w:name w:val="Revision"/>
    <w:hidden/>
    <w:uiPriority w:val="99"/>
    <w:semiHidden/>
    <w:rsid w:val="001641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E7D49"/>
    <w:rPr>
      <w:color w:val="605E5C"/>
      <w:shd w:val="clear" w:color="auto" w:fill="E1DFDD"/>
    </w:rPr>
  </w:style>
  <w:style w:type="character" w:customStyle="1" w:styleId="Heading1Char">
    <w:name w:val="Heading 1 Char"/>
    <w:basedOn w:val="DefaultParagraphFont"/>
    <w:link w:val="Heading1"/>
    <w:uiPriority w:val="9"/>
    <w:rsid w:val="00CE7D49"/>
    <w:rPr>
      <w:rFonts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s.aeaweb.org/doi/pdfplus/10.1257/jep.30.1.1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re-ec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eaweb.org/articles?id=10.1257/aer.20181289"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Kahanec</cp:lastModifiedBy>
  <cp:revision>3</cp:revision>
  <dcterms:created xsi:type="dcterms:W3CDTF">2022-08-29T18:27:00Z</dcterms:created>
  <dcterms:modified xsi:type="dcterms:W3CDTF">2022-08-31T00:10:00Z</dcterms:modified>
</cp:coreProperties>
</file>