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16" w:rsidRDefault="00A77916" w:rsidP="00D267FB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Chosen </w:t>
      </w:r>
      <w:r w:rsidR="00BD4217">
        <w:rPr>
          <w:rFonts w:asciiTheme="majorBidi" w:hAnsiTheme="majorBidi" w:cstheme="majorBidi"/>
          <w:b/>
          <w:bCs/>
          <w:sz w:val="24"/>
          <w:szCs w:val="24"/>
        </w:rPr>
        <w:t>in Faith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Religious Professionals in Islam and Christianity from the Medieval </w:t>
      </w:r>
      <w:r w:rsidR="00D267FB">
        <w:rPr>
          <w:rFonts w:asciiTheme="majorBidi" w:hAnsiTheme="majorBidi" w:cstheme="majorBidi"/>
          <w:b/>
          <w:bCs/>
          <w:sz w:val="24"/>
          <w:szCs w:val="24"/>
        </w:rPr>
        <w:t>Times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to the Advent of Modernity</w:t>
      </w:r>
    </w:p>
    <w:p w:rsidR="00A77916" w:rsidRDefault="00A77916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1522F" w:rsidRDefault="00A1522F" w:rsidP="00536D71">
      <w:pPr>
        <w:spacing w:after="0"/>
        <w:ind w:left="2880" w:hanging="28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Instructor: </w:t>
      </w:r>
      <w:r w:rsidRPr="00A1522F">
        <w:rPr>
          <w:rFonts w:asciiTheme="majorBidi" w:hAnsiTheme="majorBidi" w:cstheme="majorBidi"/>
          <w:sz w:val="24"/>
          <w:szCs w:val="24"/>
        </w:rPr>
        <w:t xml:space="preserve">Nikola </w:t>
      </w:r>
      <w:proofErr w:type="spellStart"/>
      <w:r w:rsidRPr="00A1522F">
        <w:rPr>
          <w:rFonts w:asciiTheme="majorBidi" w:hAnsiTheme="majorBidi" w:cstheme="majorBidi"/>
          <w:sz w:val="24"/>
          <w:szCs w:val="24"/>
        </w:rPr>
        <w:t>Pantić</w:t>
      </w:r>
      <w:proofErr w:type="spellEnd"/>
    </w:p>
    <w:p w:rsidR="00A1522F" w:rsidRDefault="006F2CC7" w:rsidP="00536D71">
      <w:pPr>
        <w:spacing w:after="0"/>
        <w:ind w:left="2880" w:hanging="288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Address: </w:t>
      </w:r>
      <w:r w:rsidR="00A1522F" w:rsidRPr="00A1522F">
        <w:rPr>
          <w:rFonts w:asciiTheme="majorBidi" w:hAnsiTheme="majorBidi" w:cstheme="majorBidi"/>
          <w:sz w:val="24"/>
          <w:szCs w:val="24"/>
        </w:rPr>
        <w:t>Vienna, 1100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Quellenstrasse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51, Room: B-217</w:t>
      </w:r>
      <w:r>
        <w:rPr>
          <w:rFonts w:asciiTheme="majorBidi" w:hAnsiTheme="majorBidi" w:cstheme="majorBidi"/>
          <w:sz w:val="24"/>
          <w:szCs w:val="24"/>
          <w:lang w:val="sr-Latn-RS"/>
        </w:rPr>
        <w:t>/A</w:t>
      </w:r>
    </w:p>
    <w:p w:rsidR="006F2CC7" w:rsidRPr="006F2CC7" w:rsidRDefault="006F2CC7" w:rsidP="00536D71">
      <w:pPr>
        <w:spacing w:after="0"/>
        <w:ind w:left="2880" w:hanging="288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Email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sr-Latn-RS"/>
        </w:rPr>
        <w:t>Pantic_Nikola@phd.ceu.edu</w:t>
      </w:r>
    </w:p>
    <w:p w:rsidR="00A1522F" w:rsidRDefault="00A1522F" w:rsidP="00536D71">
      <w:pPr>
        <w:spacing w:after="0"/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6F2CC7">
        <w:rPr>
          <w:rFonts w:asciiTheme="majorBidi" w:hAnsiTheme="majorBidi" w:cstheme="majorBidi"/>
          <w:b/>
          <w:bCs/>
          <w:sz w:val="24"/>
          <w:szCs w:val="24"/>
        </w:rPr>
        <w:t>Phone:</w:t>
      </w:r>
      <w:r w:rsidRPr="00A1522F">
        <w:rPr>
          <w:rFonts w:asciiTheme="majorBidi" w:hAnsiTheme="majorBidi" w:cstheme="majorBidi"/>
          <w:sz w:val="24"/>
          <w:szCs w:val="24"/>
        </w:rPr>
        <w:t xml:space="preserve"> +43 125-230-7445</w:t>
      </w:r>
    </w:p>
    <w:p w:rsidR="00A2755E" w:rsidRPr="00536D71" w:rsidRDefault="00A2755E" w:rsidP="00536D71">
      <w:pPr>
        <w:spacing w:after="0"/>
        <w:ind w:left="2880" w:hanging="288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Office Hours: </w:t>
      </w:r>
      <w:proofErr w:type="spellStart"/>
      <w:r w:rsidR="00536D71">
        <w:rPr>
          <w:rFonts w:asciiTheme="majorBidi" w:hAnsiTheme="majorBidi" w:cstheme="majorBidi"/>
          <w:sz w:val="24"/>
          <w:szCs w:val="24"/>
        </w:rPr>
        <w:t>Tuesda</w:t>
      </w:r>
      <w:r w:rsidR="00536D71">
        <w:rPr>
          <w:rFonts w:asciiTheme="majorBidi" w:hAnsiTheme="majorBidi" w:cstheme="majorBidi"/>
          <w:sz w:val="24"/>
          <w:szCs w:val="24"/>
          <w:lang w:val="sr-Latn-RS"/>
        </w:rPr>
        <w:t>ys</w:t>
      </w:r>
      <w:proofErr w:type="spellEnd"/>
      <w:r w:rsidR="00536D71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536D71"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 w:rsidR="00536D71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536D71">
        <w:rPr>
          <w:rFonts w:asciiTheme="majorBidi" w:hAnsiTheme="majorBidi" w:cstheme="majorBidi"/>
          <w:sz w:val="24"/>
          <w:szCs w:val="24"/>
          <w:lang w:val="sr-Latn-RS"/>
        </w:rPr>
        <w:t>Thursdays</w:t>
      </w:r>
      <w:proofErr w:type="spellEnd"/>
      <w:r w:rsidR="00536D71">
        <w:rPr>
          <w:rFonts w:asciiTheme="majorBidi" w:hAnsiTheme="majorBidi" w:cstheme="majorBidi"/>
          <w:sz w:val="24"/>
          <w:szCs w:val="24"/>
          <w:lang w:val="sr-Latn-RS"/>
        </w:rPr>
        <w:t>, 14.00-16.00</w:t>
      </w:r>
    </w:p>
    <w:p w:rsidR="00A1522F" w:rsidRDefault="00A1522F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0568F" w:rsidRDefault="0000568F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General</w:t>
      </w:r>
    </w:p>
    <w:p w:rsidR="005B6E09" w:rsidRDefault="005B6E09" w:rsidP="005B6E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B6E09" w:rsidRDefault="00913C85" w:rsidP="00742A5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course material </w:t>
      </w:r>
      <w:r w:rsidR="00241B56">
        <w:rPr>
          <w:rFonts w:asciiTheme="majorBidi" w:hAnsiTheme="majorBidi" w:cstheme="majorBidi"/>
          <w:sz w:val="24"/>
          <w:szCs w:val="24"/>
        </w:rPr>
        <w:t>consists of</w:t>
      </w:r>
      <w:r>
        <w:rPr>
          <w:rFonts w:asciiTheme="majorBidi" w:hAnsiTheme="majorBidi" w:cstheme="majorBidi"/>
          <w:sz w:val="24"/>
          <w:szCs w:val="24"/>
        </w:rPr>
        <w:t xml:space="preserve"> three distinct sections. </w:t>
      </w:r>
      <w:r w:rsidR="005B6E09">
        <w:rPr>
          <w:rFonts w:asciiTheme="majorBidi" w:hAnsiTheme="majorBidi" w:cstheme="majorBidi"/>
          <w:sz w:val="24"/>
          <w:szCs w:val="24"/>
        </w:rPr>
        <w:t xml:space="preserve">During the first four weeks, we will discuss </w:t>
      </w:r>
      <w:r w:rsidR="00241B56">
        <w:rPr>
          <w:rFonts w:asciiTheme="majorBidi" w:hAnsiTheme="majorBidi" w:cstheme="majorBidi"/>
          <w:sz w:val="24"/>
          <w:szCs w:val="24"/>
        </w:rPr>
        <w:t>readings that</w:t>
      </w:r>
      <w:r>
        <w:rPr>
          <w:rFonts w:asciiTheme="majorBidi" w:hAnsiTheme="majorBidi" w:cstheme="majorBidi"/>
          <w:sz w:val="24"/>
          <w:szCs w:val="24"/>
        </w:rPr>
        <w:t xml:space="preserve"> help</w:t>
      </w:r>
      <w:r w:rsidR="005B6E09">
        <w:rPr>
          <w:rFonts w:asciiTheme="majorBidi" w:hAnsiTheme="majorBidi" w:cstheme="majorBidi"/>
          <w:sz w:val="24"/>
          <w:szCs w:val="24"/>
        </w:rPr>
        <w:t xml:space="preserve"> </w:t>
      </w:r>
      <w:r w:rsidR="00061E61">
        <w:rPr>
          <w:rFonts w:asciiTheme="majorBidi" w:hAnsiTheme="majorBidi" w:cstheme="majorBidi"/>
          <w:sz w:val="24"/>
          <w:szCs w:val="24"/>
        </w:rPr>
        <w:t>sociologically and anthropologically</w:t>
      </w:r>
      <w:r w:rsidR="005B6E09">
        <w:rPr>
          <w:rFonts w:asciiTheme="majorBidi" w:hAnsiTheme="majorBidi" w:cstheme="majorBidi"/>
          <w:sz w:val="24"/>
          <w:szCs w:val="24"/>
        </w:rPr>
        <w:t xml:space="preserve"> define </w:t>
      </w:r>
      <w:r w:rsidR="002D354F">
        <w:rPr>
          <w:rFonts w:asciiTheme="majorBidi" w:hAnsiTheme="majorBidi" w:cstheme="majorBidi"/>
          <w:sz w:val="24"/>
          <w:szCs w:val="24"/>
        </w:rPr>
        <w:t>the</w:t>
      </w:r>
      <w:r w:rsidR="005B6E09">
        <w:rPr>
          <w:rFonts w:asciiTheme="majorBidi" w:hAnsiTheme="majorBidi" w:cstheme="majorBidi"/>
          <w:sz w:val="24"/>
          <w:szCs w:val="24"/>
        </w:rPr>
        <w:t xml:space="preserve"> priestly sodality in Islam and Christianity</w:t>
      </w:r>
      <w:r>
        <w:rPr>
          <w:rFonts w:asciiTheme="majorBidi" w:hAnsiTheme="majorBidi" w:cstheme="majorBidi"/>
          <w:sz w:val="24"/>
          <w:szCs w:val="24"/>
        </w:rPr>
        <w:t>.</w:t>
      </w:r>
      <w:r w:rsidR="005B6E0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We shall try to identify the religious orders’ </w:t>
      </w:r>
      <w:r w:rsidR="005B6E09">
        <w:rPr>
          <w:rFonts w:asciiTheme="majorBidi" w:hAnsiTheme="majorBidi" w:cstheme="majorBidi"/>
          <w:sz w:val="24"/>
          <w:szCs w:val="24"/>
        </w:rPr>
        <w:t xml:space="preserve">functions in Western Europe and the Middle East. Following the initial discussions, the course will commit to the presently still inadequately filled gap in the studies of religion – the history of </w:t>
      </w:r>
      <w:proofErr w:type="spellStart"/>
      <w:r w:rsidR="004B730B">
        <w:rPr>
          <w:rFonts w:asciiTheme="majorBidi" w:hAnsiTheme="majorBidi" w:cstheme="majorBidi"/>
          <w:sz w:val="24"/>
          <w:szCs w:val="24"/>
        </w:rPr>
        <w:t>thaumaturgical</w:t>
      </w:r>
      <w:proofErr w:type="spellEnd"/>
      <w:r w:rsidR="004B730B">
        <w:rPr>
          <w:rFonts w:asciiTheme="majorBidi" w:hAnsiTheme="majorBidi" w:cstheme="majorBidi"/>
          <w:sz w:val="24"/>
          <w:szCs w:val="24"/>
        </w:rPr>
        <w:t xml:space="preserve"> belief</w:t>
      </w:r>
      <w:r w:rsidR="005B6E09">
        <w:rPr>
          <w:rFonts w:asciiTheme="majorBidi" w:hAnsiTheme="majorBidi" w:cstheme="majorBidi"/>
          <w:sz w:val="24"/>
          <w:szCs w:val="24"/>
        </w:rPr>
        <w:t xml:space="preserve"> and practice</w:t>
      </w:r>
      <w:r w:rsidR="004B730B">
        <w:rPr>
          <w:rFonts w:asciiTheme="majorBidi" w:hAnsiTheme="majorBidi" w:cstheme="majorBidi"/>
          <w:sz w:val="24"/>
          <w:szCs w:val="24"/>
        </w:rPr>
        <w:t>. Thaumaturgy (causing of wonders)</w:t>
      </w:r>
      <w:r w:rsidR="005B6E09">
        <w:rPr>
          <w:rFonts w:asciiTheme="majorBidi" w:hAnsiTheme="majorBidi" w:cstheme="majorBidi"/>
          <w:sz w:val="24"/>
          <w:szCs w:val="24"/>
        </w:rPr>
        <w:t xml:space="preserve"> represented an exclusive monopoly of religious professionals </w:t>
      </w:r>
      <w:proofErr w:type="gramStart"/>
      <w:r w:rsidR="005B6E09">
        <w:rPr>
          <w:rFonts w:asciiTheme="majorBidi" w:hAnsiTheme="majorBidi" w:cstheme="majorBidi"/>
          <w:sz w:val="24"/>
          <w:szCs w:val="24"/>
        </w:rPr>
        <w:t xml:space="preserve">both in </w:t>
      </w:r>
      <w:r w:rsidR="001D6BDB">
        <w:rPr>
          <w:rFonts w:asciiTheme="majorBidi" w:hAnsiTheme="majorBidi" w:cstheme="majorBidi"/>
          <w:sz w:val="24"/>
          <w:szCs w:val="24"/>
        </w:rPr>
        <w:t>Islam and Christianity</w:t>
      </w:r>
      <w:proofErr w:type="gramEnd"/>
      <w:r w:rsidR="005B6E09">
        <w:rPr>
          <w:rFonts w:asciiTheme="majorBidi" w:hAnsiTheme="majorBidi" w:cstheme="majorBidi"/>
          <w:sz w:val="24"/>
          <w:szCs w:val="24"/>
        </w:rPr>
        <w:t xml:space="preserve">. During the final section of the course, participants will discuss the Protestant reforms, as well as the </w:t>
      </w:r>
      <w:proofErr w:type="spellStart"/>
      <w:r w:rsidR="001D6BDB">
        <w:rPr>
          <w:rFonts w:asciiTheme="majorBidi" w:hAnsiTheme="majorBidi" w:cstheme="majorBidi"/>
          <w:sz w:val="24"/>
          <w:szCs w:val="24"/>
        </w:rPr>
        <w:t>premodern</w:t>
      </w:r>
      <w:proofErr w:type="spellEnd"/>
      <w:r w:rsidR="001D6BDB">
        <w:rPr>
          <w:rFonts w:asciiTheme="majorBidi" w:hAnsiTheme="majorBidi" w:cstheme="majorBidi"/>
          <w:sz w:val="24"/>
          <w:szCs w:val="24"/>
        </w:rPr>
        <w:t xml:space="preserve"> </w:t>
      </w:r>
      <w:r w:rsidR="005B6E09">
        <w:rPr>
          <w:rFonts w:asciiTheme="majorBidi" w:hAnsiTheme="majorBidi" w:cstheme="majorBidi"/>
          <w:sz w:val="24"/>
          <w:szCs w:val="24"/>
        </w:rPr>
        <w:t xml:space="preserve">Muslim </w:t>
      </w:r>
      <w:r w:rsidR="00AB4F7E">
        <w:rPr>
          <w:rFonts w:asciiTheme="majorBidi" w:hAnsiTheme="majorBidi" w:cstheme="majorBidi"/>
          <w:sz w:val="24"/>
          <w:szCs w:val="24"/>
        </w:rPr>
        <w:t>rigorist</w:t>
      </w:r>
      <w:r w:rsidR="005B6E09">
        <w:rPr>
          <w:rFonts w:asciiTheme="majorBidi" w:hAnsiTheme="majorBidi" w:cstheme="majorBidi"/>
          <w:sz w:val="24"/>
          <w:szCs w:val="24"/>
        </w:rPr>
        <w:t xml:space="preserve"> streams of thought in a diachronic comparative perspective, illustrating the processes of change and developments in Islam and Christianity over the course of time.</w:t>
      </w:r>
      <w:r w:rsidR="00AB4F7E">
        <w:rPr>
          <w:rFonts w:asciiTheme="majorBidi" w:hAnsiTheme="majorBidi" w:cstheme="majorBidi"/>
          <w:sz w:val="24"/>
          <w:szCs w:val="24"/>
        </w:rPr>
        <w:t xml:space="preserve"> The goal of the course is to establish a comparative framework for analyzing topics such as religious authority, the relationship between religion and magic, and the </w:t>
      </w:r>
      <w:r w:rsidR="00742A50">
        <w:rPr>
          <w:rFonts w:asciiTheme="majorBidi" w:hAnsiTheme="majorBidi" w:cstheme="majorBidi"/>
          <w:sz w:val="24"/>
          <w:szCs w:val="24"/>
        </w:rPr>
        <w:t>streams</w:t>
      </w:r>
      <w:r w:rsidR="00AB4F7E">
        <w:rPr>
          <w:rFonts w:asciiTheme="majorBidi" w:hAnsiTheme="majorBidi" w:cstheme="majorBidi"/>
          <w:sz w:val="24"/>
          <w:szCs w:val="24"/>
        </w:rPr>
        <w:t xml:space="preserve"> of rigorist “revivalism” in scriptural religions.</w:t>
      </w:r>
    </w:p>
    <w:p w:rsidR="005B6E09" w:rsidRDefault="005B6E09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0568F" w:rsidRDefault="005B6E09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Learning Outcomes</w:t>
      </w:r>
    </w:p>
    <w:p w:rsidR="005B6E09" w:rsidRPr="005B6E09" w:rsidRDefault="005B6E09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0568F" w:rsidRDefault="006C4F00" w:rsidP="004A68B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Through discussions and analys</w:t>
      </w:r>
      <w:r w:rsidR="005F1F39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s of the </w:t>
      </w:r>
      <w:r w:rsidR="004A68B8">
        <w:rPr>
          <w:rFonts w:asciiTheme="majorBidi" w:hAnsiTheme="majorBidi" w:cstheme="majorBidi"/>
          <w:sz w:val="24"/>
          <w:szCs w:val="24"/>
        </w:rPr>
        <w:t>suggested</w:t>
      </w:r>
      <w:r>
        <w:rPr>
          <w:rFonts w:asciiTheme="majorBidi" w:hAnsiTheme="majorBidi" w:cstheme="majorBidi"/>
          <w:sz w:val="24"/>
          <w:szCs w:val="24"/>
        </w:rPr>
        <w:t xml:space="preserve"> material, </w:t>
      </w:r>
      <w:r w:rsidR="000D4085">
        <w:rPr>
          <w:rFonts w:asciiTheme="majorBidi" w:hAnsiTheme="majorBidi" w:cstheme="majorBidi"/>
          <w:sz w:val="24"/>
          <w:szCs w:val="24"/>
        </w:rPr>
        <w:t>students</w:t>
      </w:r>
      <w:r>
        <w:rPr>
          <w:rFonts w:asciiTheme="majorBidi" w:hAnsiTheme="majorBidi" w:cstheme="majorBidi"/>
          <w:sz w:val="24"/>
          <w:szCs w:val="24"/>
        </w:rPr>
        <w:t xml:space="preserve"> should gain more awareness of the function of </w:t>
      </w:r>
      <w:r w:rsidR="0083417A">
        <w:rPr>
          <w:rFonts w:asciiTheme="majorBidi" w:hAnsiTheme="majorBidi" w:cstheme="majorBidi"/>
          <w:sz w:val="24"/>
          <w:szCs w:val="24"/>
        </w:rPr>
        <w:t>religious professionals in Christianity and Islam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35D10">
        <w:rPr>
          <w:rFonts w:asciiTheme="majorBidi" w:hAnsiTheme="majorBidi" w:cstheme="majorBidi"/>
          <w:sz w:val="24"/>
          <w:szCs w:val="24"/>
        </w:rPr>
        <w:t>throughout the</w:t>
      </w:r>
      <w:r>
        <w:rPr>
          <w:rFonts w:asciiTheme="majorBidi" w:hAnsiTheme="majorBidi" w:cstheme="majorBidi"/>
          <w:sz w:val="24"/>
          <w:szCs w:val="24"/>
        </w:rPr>
        <w:t xml:space="preserve"> medieval and early modern </w:t>
      </w:r>
      <w:r w:rsidR="000D4085">
        <w:rPr>
          <w:rFonts w:asciiTheme="majorBidi" w:hAnsiTheme="majorBidi" w:cstheme="majorBidi"/>
          <w:sz w:val="24"/>
          <w:szCs w:val="24"/>
        </w:rPr>
        <w:t>period</w:t>
      </w:r>
      <w:r w:rsidR="0083417A">
        <w:rPr>
          <w:rFonts w:asciiTheme="majorBidi" w:hAnsiTheme="majorBidi" w:cstheme="majorBidi"/>
          <w:sz w:val="24"/>
          <w:szCs w:val="24"/>
        </w:rPr>
        <w:t>. T</w:t>
      </w:r>
      <w:r w:rsidR="001A3D21">
        <w:rPr>
          <w:rFonts w:asciiTheme="majorBidi" w:hAnsiTheme="majorBidi" w:cstheme="majorBidi"/>
          <w:sz w:val="24"/>
          <w:szCs w:val="24"/>
        </w:rPr>
        <w:t>he processes of institutionalization of these groups,</w:t>
      </w:r>
      <w:r>
        <w:rPr>
          <w:rFonts w:asciiTheme="majorBidi" w:hAnsiTheme="majorBidi" w:cstheme="majorBidi"/>
          <w:sz w:val="24"/>
          <w:szCs w:val="24"/>
        </w:rPr>
        <w:t xml:space="preserve"> as well as their function as ministers for the </w:t>
      </w:r>
      <w:r w:rsidR="00060B22">
        <w:rPr>
          <w:rFonts w:asciiTheme="majorBidi" w:hAnsiTheme="majorBidi" w:cstheme="majorBidi"/>
          <w:sz w:val="24"/>
          <w:szCs w:val="24"/>
        </w:rPr>
        <w:t>common people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will be emphasized and frequently brought into comparison</w:t>
      </w:r>
      <w:proofErr w:type="gramEnd"/>
      <w:r w:rsidR="00C84E3F">
        <w:rPr>
          <w:rFonts w:asciiTheme="majorBidi" w:hAnsiTheme="majorBidi" w:cstheme="majorBidi"/>
          <w:sz w:val="24"/>
          <w:szCs w:val="24"/>
        </w:rPr>
        <w:t>. Results of class discussions</w:t>
      </w:r>
      <w:r>
        <w:rPr>
          <w:rFonts w:asciiTheme="majorBidi" w:hAnsiTheme="majorBidi" w:cstheme="majorBidi"/>
          <w:sz w:val="24"/>
          <w:szCs w:val="24"/>
        </w:rPr>
        <w:t xml:space="preserve"> contain potential to greatly enrichen the broader field of comparative religious studies. </w:t>
      </w:r>
      <w:r w:rsidR="00535D10">
        <w:rPr>
          <w:rFonts w:asciiTheme="majorBidi" w:hAnsiTheme="majorBidi" w:cstheme="majorBidi"/>
          <w:sz w:val="24"/>
          <w:szCs w:val="24"/>
        </w:rPr>
        <w:t xml:space="preserve">Themes of the course will on the one hand </w:t>
      </w:r>
      <w:r w:rsidR="00B915FF">
        <w:rPr>
          <w:rFonts w:asciiTheme="majorBidi" w:hAnsiTheme="majorBidi" w:cstheme="majorBidi"/>
          <w:sz w:val="24"/>
          <w:szCs w:val="24"/>
        </w:rPr>
        <w:t>bring complexity to</w:t>
      </w:r>
      <w:r w:rsidR="00535D10">
        <w:rPr>
          <w:rFonts w:asciiTheme="majorBidi" w:hAnsiTheme="majorBidi" w:cstheme="majorBidi"/>
          <w:sz w:val="24"/>
          <w:szCs w:val="24"/>
        </w:rPr>
        <w:t xml:space="preserve"> the already well-researched function of the Christian priestly sodalities in Western Europe, prior to the emergence of Protestantism. On the other hand, the material </w:t>
      </w:r>
      <w:r w:rsidR="00A1522F">
        <w:rPr>
          <w:rFonts w:asciiTheme="majorBidi" w:hAnsiTheme="majorBidi" w:cstheme="majorBidi"/>
          <w:sz w:val="24"/>
          <w:szCs w:val="24"/>
        </w:rPr>
        <w:t>is intended to</w:t>
      </w:r>
      <w:r w:rsidR="00535D10">
        <w:rPr>
          <w:rFonts w:asciiTheme="majorBidi" w:hAnsiTheme="majorBidi" w:cstheme="majorBidi"/>
          <w:sz w:val="24"/>
          <w:szCs w:val="24"/>
        </w:rPr>
        <w:t xml:space="preserve"> inspire </w:t>
      </w:r>
      <w:proofErr w:type="gramStart"/>
      <w:r w:rsidR="00535D10">
        <w:rPr>
          <w:rFonts w:asciiTheme="majorBidi" w:hAnsiTheme="majorBidi" w:cstheme="majorBidi"/>
          <w:sz w:val="24"/>
          <w:szCs w:val="24"/>
        </w:rPr>
        <w:t>discussions which</w:t>
      </w:r>
      <w:proofErr w:type="gramEnd"/>
      <w:r w:rsidR="00535D10">
        <w:rPr>
          <w:rFonts w:asciiTheme="majorBidi" w:hAnsiTheme="majorBidi" w:cstheme="majorBidi"/>
          <w:sz w:val="24"/>
          <w:szCs w:val="24"/>
        </w:rPr>
        <w:t xml:space="preserve"> would help identify priestly sodalities in Islam and illustrate their comparative potential with Christian priesthoods, even though </w:t>
      </w:r>
      <w:r w:rsidR="00D130C0">
        <w:rPr>
          <w:rFonts w:asciiTheme="majorBidi" w:hAnsiTheme="majorBidi" w:cstheme="majorBidi"/>
          <w:sz w:val="24"/>
          <w:szCs w:val="24"/>
        </w:rPr>
        <w:t xml:space="preserve">Muslim sources do not contain </w:t>
      </w:r>
      <w:r w:rsidR="00535D10">
        <w:rPr>
          <w:rFonts w:asciiTheme="majorBidi" w:hAnsiTheme="majorBidi" w:cstheme="majorBidi"/>
          <w:sz w:val="24"/>
          <w:szCs w:val="24"/>
        </w:rPr>
        <w:t xml:space="preserve">a theological equivalent of this function. </w:t>
      </w:r>
    </w:p>
    <w:p w:rsidR="003323EB" w:rsidRDefault="003323EB" w:rsidP="003323E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323EB" w:rsidRDefault="003323EB" w:rsidP="003323E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Assessment</w:t>
      </w:r>
    </w:p>
    <w:p w:rsidR="003323EB" w:rsidRDefault="003323EB" w:rsidP="003323E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855DA" w:rsidRDefault="00F46464" w:rsidP="00156D7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Instead of </w:t>
      </w:r>
      <w:r w:rsidR="00A27FE8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traditional </w:t>
      </w:r>
      <w:r w:rsidR="00A27FE8">
        <w:rPr>
          <w:rFonts w:asciiTheme="majorBidi" w:hAnsiTheme="majorBidi" w:cstheme="majorBidi"/>
          <w:sz w:val="24"/>
          <w:szCs w:val="24"/>
        </w:rPr>
        <w:t>lecturing model</w:t>
      </w:r>
      <w:r>
        <w:rPr>
          <w:rFonts w:asciiTheme="majorBidi" w:hAnsiTheme="majorBidi" w:cstheme="majorBidi"/>
          <w:sz w:val="24"/>
          <w:szCs w:val="24"/>
        </w:rPr>
        <w:t xml:space="preserve">, the course sessions will assume the form of open class discussions. </w:t>
      </w:r>
      <w:r w:rsidR="00A77916">
        <w:rPr>
          <w:rFonts w:asciiTheme="majorBidi" w:hAnsiTheme="majorBidi" w:cstheme="majorBidi"/>
          <w:sz w:val="24"/>
          <w:szCs w:val="24"/>
        </w:rPr>
        <w:t>Active participation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 w:rsidR="00A77916">
        <w:rPr>
          <w:rFonts w:asciiTheme="majorBidi" w:hAnsiTheme="majorBidi" w:cstheme="majorBidi"/>
          <w:sz w:val="24"/>
          <w:szCs w:val="24"/>
        </w:rPr>
        <w:t xml:space="preserve"> strongly encouraged</w:t>
      </w:r>
      <w:r w:rsidR="0059454A">
        <w:rPr>
          <w:rFonts w:asciiTheme="majorBidi" w:hAnsiTheme="majorBidi" w:cstheme="majorBidi"/>
          <w:sz w:val="24"/>
          <w:szCs w:val="24"/>
        </w:rPr>
        <w:t xml:space="preserve">. Students should attend each session and demonstrate good handling of the reading material (10%). The course will include student presentations </w:t>
      </w:r>
      <w:r w:rsidR="00A77916">
        <w:rPr>
          <w:rFonts w:asciiTheme="majorBidi" w:hAnsiTheme="majorBidi" w:cstheme="majorBidi"/>
          <w:sz w:val="24"/>
          <w:szCs w:val="24"/>
        </w:rPr>
        <w:t>(10</w:t>
      </w:r>
      <w:r w:rsidR="0059454A">
        <w:rPr>
          <w:rFonts w:asciiTheme="majorBidi" w:hAnsiTheme="majorBidi" w:cstheme="majorBidi"/>
          <w:sz w:val="24"/>
          <w:szCs w:val="24"/>
        </w:rPr>
        <w:t>-20</w:t>
      </w:r>
      <w:r w:rsidR="00A77916">
        <w:rPr>
          <w:rFonts w:asciiTheme="majorBidi" w:hAnsiTheme="majorBidi" w:cstheme="majorBidi"/>
          <w:sz w:val="24"/>
          <w:szCs w:val="24"/>
        </w:rPr>
        <w:t xml:space="preserve">%) during which the </w:t>
      </w:r>
      <w:r w:rsidR="0059454A">
        <w:rPr>
          <w:rFonts w:asciiTheme="majorBidi" w:hAnsiTheme="majorBidi" w:cstheme="majorBidi"/>
          <w:sz w:val="24"/>
          <w:szCs w:val="24"/>
        </w:rPr>
        <w:t>participants</w:t>
      </w:r>
      <w:r w:rsidR="00A77916">
        <w:rPr>
          <w:rFonts w:asciiTheme="majorBidi" w:hAnsiTheme="majorBidi" w:cstheme="majorBidi"/>
          <w:sz w:val="24"/>
          <w:szCs w:val="24"/>
        </w:rPr>
        <w:t xml:space="preserve"> </w:t>
      </w:r>
      <w:r w:rsidR="00E77BE3">
        <w:rPr>
          <w:rFonts w:asciiTheme="majorBidi" w:hAnsiTheme="majorBidi" w:cstheme="majorBidi"/>
          <w:sz w:val="24"/>
          <w:szCs w:val="24"/>
        </w:rPr>
        <w:t>will</w:t>
      </w:r>
      <w:r w:rsidR="00A77916">
        <w:rPr>
          <w:rFonts w:asciiTheme="majorBidi" w:hAnsiTheme="majorBidi" w:cstheme="majorBidi"/>
          <w:sz w:val="24"/>
          <w:szCs w:val="24"/>
        </w:rPr>
        <w:t xml:space="preserve"> ask meaningful questions about the </w:t>
      </w:r>
      <w:r w:rsidR="00A77916">
        <w:rPr>
          <w:rFonts w:asciiTheme="majorBidi" w:hAnsiTheme="majorBidi" w:cstheme="majorBidi"/>
          <w:sz w:val="24"/>
          <w:szCs w:val="24"/>
        </w:rPr>
        <w:lastRenderedPageBreak/>
        <w:t>theme of the given week</w:t>
      </w:r>
      <w:r w:rsidR="0059454A">
        <w:rPr>
          <w:rFonts w:asciiTheme="majorBidi" w:hAnsiTheme="majorBidi" w:cstheme="majorBidi"/>
          <w:sz w:val="24"/>
          <w:szCs w:val="24"/>
        </w:rPr>
        <w:t>, focusing on comparisons, methodology and approaches</w:t>
      </w:r>
      <w:r w:rsidR="00A77916">
        <w:rPr>
          <w:rFonts w:asciiTheme="majorBidi" w:hAnsiTheme="majorBidi" w:cstheme="majorBidi"/>
          <w:sz w:val="24"/>
          <w:szCs w:val="24"/>
        </w:rPr>
        <w:t xml:space="preserve">. In addition, each </w:t>
      </w:r>
      <w:r w:rsidR="005B6E09">
        <w:rPr>
          <w:rFonts w:asciiTheme="majorBidi" w:hAnsiTheme="majorBidi" w:cstheme="majorBidi"/>
          <w:sz w:val="24"/>
          <w:szCs w:val="24"/>
        </w:rPr>
        <w:t xml:space="preserve">student will </w:t>
      </w:r>
      <w:r w:rsidR="00A77916">
        <w:rPr>
          <w:rFonts w:asciiTheme="majorBidi" w:hAnsiTheme="majorBidi" w:cstheme="majorBidi"/>
          <w:sz w:val="24"/>
          <w:szCs w:val="24"/>
        </w:rPr>
        <w:t xml:space="preserve">write three brief </w:t>
      </w:r>
      <w:r w:rsidR="005B6E09">
        <w:rPr>
          <w:rFonts w:asciiTheme="majorBidi" w:hAnsiTheme="majorBidi" w:cstheme="majorBidi"/>
          <w:sz w:val="24"/>
          <w:szCs w:val="24"/>
        </w:rPr>
        <w:t xml:space="preserve">thematic </w:t>
      </w:r>
      <w:r w:rsidR="00A77916">
        <w:rPr>
          <w:rFonts w:asciiTheme="majorBidi" w:hAnsiTheme="majorBidi" w:cstheme="majorBidi"/>
          <w:sz w:val="24"/>
          <w:szCs w:val="24"/>
        </w:rPr>
        <w:t>response papers (1000-1500 words each) which will refer to each of the three parts of the course</w:t>
      </w:r>
      <w:r w:rsidR="0059454A">
        <w:rPr>
          <w:rFonts w:asciiTheme="majorBidi" w:hAnsiTheme="majorBidi" w:cstheme="majorBidi"/>
          <w:sz w:val="24"/>
          <w:szCs w:val="24"/>
        </w:rPr>
        <w:t xml:space="preserve"> (60-70%)</w:t>
      </w:r>
      <w:r w:rsidR="00A77916">
        <w:rPr>
          <w:rFonts w:asciiTheme="majorBidi" w:hAnsiTheme="majorBidi" w:cstheme="majorBidi"/>
          <w:sz w:val="24"/>
          <w:szCs w:val="24"/>
        </w:rPr>
        <w:t xml:space="preserve">, combining the readings from the previous four weeks. Papers </w:t>
      </w:r>
      <w:r w:rsidR="00603DA7">
        <w:rPr>
          <w:rFonts w:asciiTheme="majorBidi" w:hAnsiTheme="majorBidi" w:cstheme="majorBidi"/>
          <w:sz w:val="24"/>
          <w:szCs w:val="24"/>
        </w:rPr>
        <w:t>should</w:t>
      </w:r>
      <w:r w:rsidR="00A77916">
        <w:rPr>
          <w:rFonts w:asciiTheme="majorBidi" w:hAnsiTheme="majorBidi" w:cstheme="majorBidi"/>
          <w:sz w:val="24"/>
          <w:szCs w:val="24"/>
        </w:rPr>
        <w:t xml:space="preserve"> be submitted one week after the last session of a given course section</w:t>
      </w:r>
      <w:r w:rsidR="00A2755E">
        <w:rPr>
          <w:rFonts w:asciiTheme="majorBidi" w:hAnsiTheme="majorBidi" w:cstheme="majorBidi"/>
          <w:sz w:val="24"/>
          <w:szCs w:val="24"/>
        </w:rPr>
        <w:t xml:space="preserve"> (</w:t>
      </w:r>
      <w:r w:rsidR="00A54923">
        <w:rPr>
          <w:rFonts w:asciiTheme="majorBidi" w:hAnsiTheme="majorBidi" w:cstheme="majorBidi"/>
          <w:sz w:val="24"/>
          <w:szCs w:val="24"/>
        </w:rPr>
        <w:t xml:space="preserve">the </w:t>
      </w:r>
      <w:r w:rsidR="00A2755E">
        <w:rPr>
          <w:rFonts w:asciiTheme="majorBidi" w:hAnsiTheme="majorBidi" w:cstheme="majorBidi"/>
          <w:sz w:val="24"/>
          <w:szCs w:val="24"/>
        </w:rPr>
        <w:t xml:space="preserve">first paper </w:t>
      </w:r>
      <w:r w:rsidR="00A54923">
        <w:rPr>
          <w:rFonts w:asciiTheme="majorBidi" w:hAnsiTheme="majorBidi" w:cstheme="majorBidi"/>
          <w:sz w:val="24"/>
          <w:szCs w:val="24"/>
        </w:rPr>
        <w:t xml:space="preserve">on </w:t>
      </w:r>
      <w:r w:rsidR="00A2755E">
        <w:rPr>
          <w:rFonts w:asciiTheme="majorBidi" w:hAnsiTheme="majorBidi" w:cstheme="majorBidi"/>
          <w:sz w:val="24"/>
          <w:szCs w:val="24"/>
        </w:rPr>
        <w:t>February 10</w:t>
      </w:r>
      <w:r w:rsidR="00A2755E" w:rsidRPr="00A275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2755E">
        <w:rPr>
          <w:rFonts w:asciiTheme="majorBidi" w:hAnsiTheme="majorBidi" w:cstheme="majorBidi"/>
          <w:sz w:val="24"/>
          <w:szCs w:val="24"/>
        </w:rPr>
        <w:t>,</w:t>
      </w:r>
      <w:r w:rsidR="00A54923">
        <w:rPr>
          <w:rFonts w:asciiTheme="majorBidi" w:hAnsiTheme="majorBidi" w:cstheme="majorBidi"/>
          <w:sz w:val="24"/>
          <w:szCs w:val="24"/>
        </w:rPr>
        <w:t xml:space="preserve"> the</w:t>
      </w:r>
      <w:r w:rsidR="00A2755E">
        <w:rPr>
          <w:rFonts w:asciiTheme="majorBidi" w:hAnsiTheme="majorBidi" w:cstheme="majorBidi"/>
          <w:sz w:val="24"/>
          <w:szCs w:val="24"/>
        </w:rPr>
        <w:t xml:space="preserve"> second</w:t>
      </w:r>
      <w:r w:rsidR="00A54923">
        <w:rPr>
          <w:rFonts w:asciiTheme="majorBidi" w:hAnsiTheme="majorBidi" w:cstheme="majorBidi"/>
          <w:sz w:val="24"/>
          <w:szCs w:val="24"/>
        </w:rPr>
        <w:t xml:space="preserve"> on</w:t>
      </w:r>
      <w:r w:rsidR="00A2755E">
        <w:rPr>
          <w:rFonts w:asciiTheme="majorBidi" w:hAnsiTheme="majorBidi" w:cstheme="majorBidi"/>
          <w:sz w:val="24"/>
          <w:szCs w:val="24"/>
        </w:rPr>
        <w:t xml:space="preserve"> March 10</w:t>
      </w:r>
      <w:r w:rsidR="00A2755E" w:rsidRPr="00A275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2755E">
        <w:rPr>
          <w:rFonts w:asciiTheme="majorBidi" w:hAnsiTheme="majorBidi" w:cstheme="majorBidi"/>
          <w:sz w:val="24"/>
          <w:szCs w:val="24"/>
        </w:rPr>
        <w:t xml:space="preserve">, </w:t>
      </w:r>
      <w:r w:rsidR="00A54923">
        <w:rPr>
          <w:rFonts w:asciiTheme="majorBidi" w:hAnsiTheme="majorBidi" w:cstheme="majorBidi"/>
          <w:sz w:val="24"/>
          <w:szCs w:val="24"/>
        </w:rPr>
        <w:t xml:space="preserve">and the </w:t>
      </w:r>
      <w:r w:rsidR="00A2755E">
        <w:rPr>
          <w:rFonts w:asciiTheme="majorBidi" w:hAnsiTheme="majorBidi" w:cstheme="majorBidi"/>
          <w:sz w:val="24"/>
          <w:szCs w:val="24"/>
        </w:rPr>
        <w:t>third</w:t>
      </w:r>
      <w:r w:rsidR="00A54923">
        <w:rPr>
          <w:rFonts w:asciiTheme="majorBidi" w:hAnsiTheme="majorBidi" w:cstheme="majorBidi"/>
          <w:sz w:val="24"/>
          <w:szCs w:val="24"/>
        </w:rPr>
        <w:t xml:space="preserve"> on</w:t>
      </w:r>
      <w:r w:rsidR="00A2755E">
        <w:rPr>
          <w:rFonts w:asciiTheme="majorBidi" w:hAnsiTheme="majorBidi" w:cstheme="majorBidi"/>
          <w:sz w:val="24"/>
          <w:szCs w:val="24"/>
        </w:rPr>
        <w:t xml:space="preserve"> April </w:t>
      </w:r>
      <w:r w:rsidR="00156D78">
        <w:rPr>
          <w:rFonts w:asciiTheme="majorBidi" w:hAnsiTheme="majorBidi" w:cstheme="majorBidi"/>
          <w:sz w:val="24"/>
          <w:szCs w:val="24"/>
        </w:rPr>
        <w:t>7</w:t>
      </w:r>
      <w:bookmarkStart w:id="0" w:name="_GoBack"/>
      <w:bookmarkEnd w:id="0"/>
      <w:r w:rsidR="00A2755E" w:rsidRPr="00A275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D80AE9">
        <w:rPr>
          <w:rFonts w:asciiTheme="majorBidi" w:hAnsiTheme="majorBidi" w:cstheme="majorBidi"/>
          <w:sz w:val="24"/>
          <w:szCs w:val="24"/>
        </w:rPr>
        <w:t>, by midnight)</w:t>
      </w:r>
      <w:r w:rsidR="00A77916">
        <w:rPr>
          <w:rFonts w:asciiTheme="majorBidi" w:hAnsiTheme="majorBidi" w:cstheme="majorBidi"/>
          <w:sz w:val="24"/>
          <w:szCs w:val="24"/>
        </w:rPr>
        <w:t>.</w:t>
      </w:r>
    </w:p>
    <w:p w:rsidR="007040B7" w:rsidRDefault="007040B7" w:rsidP="007040B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040B7" w:rsidRPr="00D80AE9" w:rsidRDefault="007040B7" w:rsidP="007040B7">
      <w:pPr>
        <w:spacing w:after="0"/>
        <w:rPr>
          <w:rFonts w:asciiTheme="majorBidi" w:hAnsiTheme="majorBidi" w:cstheme="majorBidi"/>
          <w:sz w:val="24"/>
          <w:szCs w:val="24"/>
        </w:rPr>
      </w:pPr>
      <w:r w:rsidRPr="00D80AE9">
        <w:rPr>
          <w:rFonts w:asciiTheme="majorBidi" w:hAnsiTheme="majorBidi" w:cstheme="majorBidi"/>
          <w:sz w:val="24"/>
          <w:szCs w:val="24"/>
        </w:rPr>
        <w:t>Class Attendance</w:t>
      </w:r>
    </w:p>
    <w:p w:rsidR="007040B7" w:rsidRPr="00D80AE9" w:rsidRDefault="007040B7" w:rsidP="007040B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040B7" w:rsidRPr="00D80AE9" w:rsidRDefault="007040B7" w:rsidP="007040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80AE9">
        <w:rPr>
          <w:rFonts w:asciiTheme="majorBidi" w:hAnsiTheme="majorBidi" w:cstheme="majorBidi"/>
          <w:sz w:val="24"/>
          <w:szCs w:val="24"/>
        </w:rPr>
        <w:t xml:space="preserve">Regular attendance is mandatory in all classes. A student who misses more than two units (two 100 min sessions) in any </w:t>
      </w:r>
      <w:proofErr w:type="gramStart"/>
      <w:r w:rsidRPr="00D80AE9">
        <w:rPr>
          <w:rFonts w:asciiTheme="majorBidi" w:hAnsiTheme="majorBidi" w:cstheme="majorBidi"/>
          <w:sz w:val="24"/>
          <w:szCs w:val="24"/>
        </w:rPr>
        <w:t>2</w:t>
      </w:r>
      <w:proofErr w:type="gramEnd"/>
      <w:r w:rsidRPr="00D80AE9">
        <w:rPr>
          <w:rFonts w:asciiTheme="majorBidi" w:hAnsiTheme="majorBidi" w:cstheme="majorBidi"/>
          <w:sz w:val="24"/>
          <w:szCs w:val="24"/>
        </w:rPr>
        <w:t xml:space="preserve"> or 4 credit class without a verified reason beyond the student's control must submit an 8-10 page paper assigned by the Professor which as a rule should cover the material in the missed class. The paper is due no later than 3 weeks after the missed class.</w:t>
      </w:r>
    </w:p>
    <w:p w:rsidR="0000568F" w:rsidRDefault="0000568F" w:rsidP="0000568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C4F00" w:rsidRDefault="006C4F00" w:rsidP="00A1522F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PART 1: RELIGIOUS FIELD AND ITS PROFESSIONALS AMONG THE MUSLIMS AND CHRISTIANS OF MEDIEVAL AND EARLY MODERN PERIODS</w:t>
      </w:r>
    </w:p>
    <w:p w:rsidR="006C4F00" w:rsidRPr="006C4F00" w:rsidRDefault="006C4F00" w:rsidP="0000568F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5524F" w:rsidRPr="00D666A1" w:rsidRDefault="005C3610" w:rsidP="00D666A1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r w:rsidRPr="003509BE">
        <w:rPr>
          <w:rFonts w:asciiTheme="majorBidi" w:hAnsiTheme="majorBidi" w:cstheme="majorBidi"/>
          <w:b/>
          <w:bCs/>
          <w:sz w:val="24"/>
          <w:szCs w:val="24"/>
        </w:rPr>
        <w:t xml:space="preserve">Week 01: </w:t>
      </w:r>
      <w:proofErr w:type="spellStart"/>
      <w:r w:rsidR="00D666A1">
        <w:rPr>
          <w:rFonts w:asciiTheme="majorBidi" w:hAnsiTheme="majorBidi" w:cstheme="majorBidi"/>
          <w:b/>
          <w:bCs/>
          <w:sz w:val="24"/>
          <w:szCs w:val="24"/>
        </w:rPr>
        <w:t>Theori</w:t>
      </w:r>
      <w:r w:rsidR="00D666A1">
        <w:rPr>
          <w:rFonts w:asciiTheme="majorBidi" w:hAnsiTheme="majorBidi" w:cstheme="majorBidi"/>
          <w:b/>
          <w:bCs/>
          <w:sz w:val="24"/>
          <w:szCs w:val="24"/>
          <w:lang w:val="sr-Latn-RS"/>
        </w:rPr>
        <w:t>zing</w:t>
      </w:r>
      <w:proofErr w:type="spellEnd"/>
      <w:r w:rsidR="00D666A1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D666A1">
        <w:rPr>
          <w:rFonts w:asciiTheme="majorBidi" w:hAnsiTheme="majorBidi" w:cstheme="majorBidi"/>
          <w:b/>
          <w:bCs/>
          <w:sz w:val="24"/>
          <w:szCs w:val="24"/>
          <w:lang w:val="sr-Latn-RS"/>
        </w:rPr>
        <w:t>Religious</w:t>
      </w:r>
      <w:proofErr w:type="spellEnd"/>
      <w:r w:rsidR="00D666A1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D666A1">
        <w:rPr>
          <w:rFonts w:asciiTheme="majorBidi" w:hAnsiTheme="majorBidi" w:cstheme="majorBidi"/>
          <w:b/>
          <w:bCs/>
          <w:sz w:val="24"/>
          <w:szCs w:val="24"/>
          <w:lang w:val="sr-Latn-RS"/>
        </w:rPr>
        <w:t>Authority</w:t>
      </w:r>
      <w:proofErr w:type="spellEnd"/>
    </w:p>
    <w:p w:rsidR="001A1800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Mandatory Reading</w:t>
      </w:r>
    </w:p>
    <w:p w:rsidR="00D666A1" w:rsidRP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3509BE">
        <w:rPr>
          <w:rFonts w:asciiTheme="majorBidi" w:hAnsiTheme="majorBidi" w:cstheme="majorBidi"/>
          <w:sz w:val="24"/>
          <w:szCs w:val="24"/>
        </w:rPr>
        <w:t xml:space="preserve">Bourdieu, Pierre. “Genesis and Structure of the Religious Field,” </w:t>
      </w:r>
      <w:r w:rsidRPr="003509BE">
        <w:rPr>
          <w:rFonts w:asciiTheme="majorBidi" w:hAnsiTheme="majorBidi" w:cstheme="majorBidi"/>
          <w:i/>
          <w:iCs/>
          <w:sz w:val="24"/>
          <w:szCs w:val="24"/>
        </w:rPr>
        <w:t xml:space="preserve">Comparative Social Research, </w:t>
      </w:r>
      <w:r w:rsidRPr="003509BE">
        <w:rPr>
          <w:rFonts w:asciiTheme="majorBidi" w:hAnsiTheme="majorBidi" w:cstheme="majorBidi"/>
          <w:sz w:val="24"/>
          <w:szCs w:val="24"/>
        </w:rPr>
        <w:t>Vol. 13 (1991): 1-43.</w:t>
      </w:r>
    </w:p>
    <w:p w:rsidR="005C3610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Weber, Max, “Gods, Magicians, and Priests,” 20-31. In</w:t>
      </w:r>
      <w:r w:rsidR="005C3610" w:rsidRPr="003509BE">
        <w:rPr>
          <w:rFonts w:asciiTheme="majorBidi" w:hAnsiTheme="majorBidi" w:cstheme="majorBidi"/>
          <w:sz w:val="24"/>
          <w:szCs w:val="24"/>
        </w:rPr>
        <w:t xml:space="preserve"> </w:t>
      </w:r>
      <w:r w:rsidR="005C3610" w:rsidRPr="003509BE">
        <w:rPr>
          <w:rFonts w:asciiTheme="majorBidi" w:hAnsiTheme="majorBidi" w:cstheme="majorBidi"/>
          <w:i/>
          <w:iCs/>
          <w:sz w:val="24"/>
          <w:szCs w:val="24"/>
        </w:rPr>
        <w:t xml:space="preserve">Sociology of Religion. </w:t>
      </w:r>
      <w:r w:rsidR="005C3610" w:rsidRPr="003509BE">
        <w:rPr>
          <w:rFonts w:asciiTheme="majorBidi" w:hAnsiTheme="majorBidi" w:cstheme="majorBidi"/>
          <w:sz w:val="24"/>
          <w:szCs w:val="24"/>
        </w:rPr>
        <w:t xml:space="preserve">In </w:t>
      </w:r>
      <w:r w:rsidR="005C3610" w:rsidRPr="003509BE">
        <w:rPr>
          <w:rFonts w:asciiTheme="majorBidi" w:hAnsiTheme="majorBidi" w:cstheme="majorBidi"/>
          <w:i/>
          <w:iCs/>
          <w:sz w:val="24"/>
          <w:szCs w:val="24"/>
        </w:rPr>
        <w:t xml:space="preserve">Economy and Society 1. </w:t>
      </w:r>
      <w:r>
        <w:rPr>
          <w:rFonts w:asciiTheme="majorBidi" w:hAnsiTheme="majorBidi" w:cstheme="majorBidi"/>
          <w:sz w:val="24"/>
          <w:szCs w:val="24"/>
        </w:rPr>
        <w:t>Boston: Beacon Press, 1993.</w:t>
      </w:r>
    </w:p>
    <w:p w:rsid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Further Reading</w:t>
      </w:r>
    </w:p>
    <w:p w:rsid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D666A1" w:rsidRP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Weber, Max, “The Prophet,” 46-59. In</w:t>
      </w:r>
      <w:r w:rsidRPr="003509BE">
        <w:rPr>
          <w:rFonts w:asciiTheme="majorBidi" w:hAnsiTheme="majorBidi" w:cstheme="majorBidi"/>
          <w:sz w:val="24"/>
          <w:szCs w:val="24"/>
        </w:rPr>
        <w:t xml:space="preserve"> </w:t>
      </w:r>
      <w:r w:rsidRPr="003509BE">
        <w:rPr>
          <w:rFonts w:asciiTheme="majorBidi" w:hAnsiTheme="majorBidi" w:cstheme="majorBidi"/>
          <w:i/>
          <w:iCs/>
          <w:sz w:val="24"/>
          <w:szCs w:val="24"/>
        </w:rPr>
        <w:t xml:space="preserve">Sociology of Religion. </w:t>
      </w:r>
      <w:r w:rsidRPr="003509BE">
        <w:rPr>
          <w:rFonts w:asciiTheme="majorBidi" w:hAnsiTheme="majorBidi" w:cstheme="majorBidi"/>
          <w:sz w:val="24"/>
          <w:szCs w:val="24"/>
        </w:rPr>
        <w:t xml:space="preserve">In </w:t>
      </w:r>
      <w:r w:rsidRPr="003509BE">
        <w:rPr>
          <w:rFonts w:asciiTheme="majorBidi" w:hAnsiTheme="majorBidi" w:cstheme="majorBidi"/>
          <w:i/>
          <w:iCs/>
          <w:sz w:val="24"/>
          <w:szCs w:val="24"/>
        </w:rPr>
        <w:t xml:space="preserve">Economy and Society 1. </w:t>
      </w:r>
      <w:r w:rsidRPr="003509BE">
        <w:rPr>
          <w:rFonts w:asciiTheme="majorBidi" w:hAnsiTheme="majorBidi" w:cstheme="majorBidi"/>
          <w:sz w:val="24"/>
          <w:szCs w:val="24"/>
        </w:rPr>
        <w:t>Boston: Beacon Press, 1993.</w:t>
      </w:r>
    </w:p>
    <w:p w:rsidR="001A1800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F7676" w:rsidRDefault="00AF7676" w:rsidP="00D666A1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09BE">
        <w:rPr>
          <w:rFonts w:asciiTheme="majorBidi" w:hAnsiTheme="majorBidi" w:cstheme="majorBidi"/>
          <w:b/>
          <w:bCs/>
          <w:sz w:val="24"/>
          <w:szCs w:val="24"/>
        </w:rPr>
        <w:t xml:space="preserve">Week 02: </w:t>
      </w:r>
      <w:r w:rsidR="00D666A1">
        <w:rPr>
          <w:rFonts w:asciiTheme="majorBidi" w:hAnsiTheme="majorBidi" w:cstheme="majorBidi"/>
          <w:b/>
          <w:bCs/>
          <w:sz w:val="24"/>
          <w:szCs w:val="24"/>
        </w:rPr>
        <w:t>Authority of the Christian Office</w:t>
      </w:r>
    </w:p>
    <w:p w:rsidR="00D666A1" w:rsidRDefault="00D666A1" w:rsidP="00D666A1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Mandatory Reading</w:t>
      </w:r>
    </w:p>
    <w:p w:rsid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Taylor, Charles. “Clericalism,”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CrossCurrents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Vol. 10, No. 4 (</w:t>
      </w:r>
      <w:proofErr w:type="gramStart"/>
      <w:r>
        <w:rPr>
          <w:rFonts w:asciiTheme="majorBidi" w:hAnsiTheme="majorBidi" w:cstheme="majorBidi"/>
          <w:sz w:val="24"/>
          <w:szCs w:val="24"/>
        </w:rPr>
        <w:t>Fall</w:t>
      </w:r>
      <w:proofErr w:type="gramEnd"/>
      <w:r>
        <w:rPr>
          <w:rFonts w:asciiTheme="majorBidi" w:hAnsiTheme="majorBidi" w:cstheme="majorBidi"/>
          <w:sz w:val="24"/>
          <w:szCs w:val="24"/>
        </w:rPr>
        <w:t>, 1960): 327-336.</w:t>
      </w:r>
    </w:p>
    <w:p w:rsidR="001A1800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Von Stockhausen, Annette. “Insights into the Christian Office in Late Antiquity</w:t>
      </w:r>
      <w:r w:rsidR="00FB399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”</w:t>
      </w:r>
      <w:r w:rsidR="00FB399D">
        <w:rPr>
          <w:rFonts w:asciiTheme="majorBidi" w:hAnsiTheme="majorBidi" w:cstheme="majorBidi"/>
          <w:sz w:val="24"/>
          <w:szCs w:val="24"/>
        </w:rPr>
        <w:t xml:space="preserve"> 41-54.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Rabbi-Pastor-Priest: Their Roles and Profiles Through the Ages. </w:t>
      </w:r>
      <w:r>
        <w:rPr>
          <w:rFonts w:asciiTheme="majorBidi" w:hAnsiTheme="majorBidi" w:cstheme="majorBidi"/>
          <w:sz w:val="24"/>
          <w:szCs w:val="24"/>
        </w:rPr>
        <w:t xml:space="preserve">Edited by Walter </w:t>
      </w:r>
      <w:proofErr w:type="spellStart"/>
      <w:r>
        <w:rPr>
          <w:rFonts w:asciiTheme="majorBidi" w:hAnsiTheme="majorBidi" w:cstheme="majorBidi"/>
          <w:sz w:val="24"/>
          <w:szCs w:val="24"/>
        </w:rPr>
        <w:t>Homolka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D666A1">
        <w:rPr>
          <w:rFonts w:asciiTheme="majorBidi" w:hAnsiTheme="majorBidi" w:cstheme="majorBidi"/>
          <w:sz w:val="24"/>
          <w:szCs w:val="24"/>
        </w:rPr>
        <w:t>Heinz-</w:t>
      </w:r>
      <w:proofErr w:type="spellStart"/>
      <w:r w:rsidRPr="00D666A1">
        <w:rPr>
          <w:rFonts w:asciiTheme="majorBidi" w:hAnsiTheme="majorBidi" w:cstheme="majorBidi"/>
          <w:sz w:val="24"/>
          <w:szCs w:val="24"/>
        </w:rPr>
        <w:t>Günther</w:t>
      </w:r>
      <w:proofErr w:type="spellEnd"/>
      <w:r w:rsidRPr="00D666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66A1">
        <w:rPr>
          <w:rFonts w:asciiTheme="majorBidi" w:hAnsiTheme="majorBidi" w:cstheme="majorBidi"/>
          <w:sz w:val="24"/>
          <w:szCs w:val="24"/>
        </w:rPr>
        <w:t>Schöttler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Berlin&amp;Boston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De </w:t>
      </w:r>
      <w:proofErr w:type="spellStart"/>
      <w:r>
        <w:rPr>
          <w:rFonts w:asciiTheme="majorBidi" w:hAnsiTheme="majorBidi" w:cstheme="majorBidi"/>
          <w:sz w:val="24"/>
          <w:szCs w:val="24"/>
        </w:rPr>
        <w:t>Gruyter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EC580D" w:rsidRDefault="00882200" w:rsidP="00EC580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Morris, Colin. “The Government of the Church in the Twelfth Century,” 205-236. In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Papal Monarchy: The Western Church from 1050 to 1250. </w:t>
      </w:r>
      <w:r>
        <w:rPr>
          <w:rFonts w:asciiTheme="majorBidi" w:hAnsiTheme="majorBidi" w:cstheme="majorBidi"/>
          <w:sz w:val="24"/>
          <w:szCs w:val="24"/>
        </w:rPr>
        <w:t xml:space="preserve">Oxford: Clarendon </w:t>
      </w:r>
      <w:r w:rsidR="00EC580D">
        <w:rPr>
          <w:rFonts w:asciiTheme="majorBidi" w:hAnsiTheme="majorBidi" w:cstheme="majorBidi"/>
          <w:sz w:val="24"/>
          <w:szCs w:val="24"/>
        </w:rPr>
        <w:t>Press, 1989.</w:t>
      </w:r>
    </w:p>
    <w:p w:rsidR="00EC580D" w:rsidRDefault="00EC580D" w:rsidP="00EC580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C580D" w:rsidRDefault="00EC580D" w:rsidP="00EC580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C580D" w:rsidRDefault="00EC580D" w:rsidP="00EC580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C580D" w:rsidRDefault="00EC580D" w:rsidP="00EC580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882200" w:rsidRDefault="00882200" w:rsidP="00D666A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Further Reading</w:t>
      </w:r>
    </w:p>
    <w:p w:rsidR="00882200" w:rsidRDefault="00882200" w:rsidP="00D666A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D323B" w:rsidRDefault="00CD323B" w:rsidP="00882200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Homolka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Walter, and </w:t>
      </w:r>
      <w:proofErr w:type="spellStart"/>
      <w:r w:rsidRPr="00D666A1">
        <w:rPr>
          <w:rFonts w:asciiTheme="majorBidi" w:hAnsiTheme="majorBidi" w:cstheme="majorBidi"/>
          <w:sz w:val="24"/>
          <w:szCs w:val="24"/>
        </w:rPr>
        <w:t>Schöttler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D666A1">
        <w:rPr>
          <w:rFonts w:asciiTheme="majorBidi" w:hAnsiTheme="majorBidi" w:cstheme="majorBidi"/>
          <w:sz w:val="24"/>
          <w:szCs w:val="24"/>
        </w:rPr>
        <w:t xml:space="preserve"> Heinz-</w:t>
      </w:r>
      <w:proofErr w:type="spellStart"/>
      <w:r w:rsidRPr="00D666A1">
        <w:rPr>
          <w:rFonts w:asciiTheme="majorBidi" w:hAnsiTheme="majorBidi" w:cstheme="majorBidi"/>
          <w:sz w:val="24"/>
          <w:szCs w:val="24"/>
        </w:rPr>
        <w:t>Günther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eds.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Rabbi-Pastor-Priest: Their Roles and Profiles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Through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the Ages. </w:t>
      </w:r>
      <w:proofErr w:type="spellStart"/>
      <w:r>
        <w:rPr>
          <w:rFonts w:asciiTheme="majorBidi" w:hAnsiTheme="majorBidi" w:cstheme="majorBidi"/>
          <w:sz w:val="24"/>
          <w:szCs w:val="24"/>
        </w:rPr>
        <w:t>Berlin&amp;Boston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De </w:t>
      </w:r>
      <w:proofErr w:type="spellStart"/>
      <w:r>
        <w:rPr>
          <w:rFonts w:asciiTheme="majorBidi" w:hAnsiTheme="majorBidi" w:cstheme="majorBidi"/>
          <w:sz w:val="24"/>
          <w:szCs w:val="24"/>
        </w:rPr>
        <w:t>Gruyter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CD323B" w:rsidRPr="00882200" w:rsidRDefault="00CD323B" w:rsidP="00882200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Macy, Gary.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Hidden History of Women’s Ordination: Female Clergy in the Medieval West. </w:t>
      </w:r>
      <w:r>
        <w:rPr>
          <w:rFonts w:asciiTheme="majorBidi" w:hAnsiTheme="majorBidi" w:cstheme="majorBidi"/>
          <w:sz w:val="24"/>
          <w:szCs w:val="24"/>
        </w:rPr>
        <w:t>Oxford: Oxford University Press, 2008.</w:t>
      </w:r>
      <w:r w:rsidRPr="00D666A1">
        <w:rPr>
          <w:rFonts w:asciiTheme="majorBidi" w:hAnsiTheme="majorBidi" w:cstheme="majorBidi"/>
          <w:sz w:val="24"/>
          <w:szCs w:val="24"/>
        </w:rPr>
        <w:t xml:space="preserve"> </w:t>
      </w:r>
    </w:p>
    <w:p w:rsidR="00D666A1" w:rsidRDefault="00D666A1" w:rsidP="00D666A1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A1800" w:rsidRPr="003509BE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81180" w:rsidRDefault="00DB085A" w:rsidP="00A04956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03: </w:t>
      </w:r>
      <w:proofErr w:type="spellStart"/>
      <w:r w:rsidR="00A04956">
        <w:rPr>
          <w:rFonts w:asciiTheme="majorBidi" w:hAnsiTheme="majorBidi" w:cstheme="majorBidi"/>
          <w:b/>
          <w:bCs/>
          <w:sz w:val="24"/>
          <w:szCs w:val="24"/>
          <w:lang w:val="sr-Latn-RS"/>
        </w:rPr>
        <w:t>Religious</w:t>
      </w:r>
      <w:proofErr w:type="spellEnd"/>
      <w:r w:rsidR="00A04956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A04956">
        <w:rPr>
          <w:rFonts w:asciiTheme="majorBidi" w:hAnsiTheme="majorBidi" w:cstheme="majorBidi"/>
          <w:b/>
          <w:bCs/>
          <w:sz w:val="24"/>
          <w:szCs w:val="24"/>
          <w:lang w:val="sr-Latn-RS"/>
        </w:rPr>
        <w:t>Authority</w:t>
      </w:r>
      <w:proofErr w:type="spellEnd"/>
      <w:r w:rsidR="00981180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in Islam</w:t>
      </w:r>
    </w:p>
    <w:p w:rsidR="00981180" w:rsidRDefault="00981180" w:rsidP="00981180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981180" w:rsidRPr="00981180" w:rsidRDefault="00981180" w:rsidP="00981180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 w:rsidRPr="00981180">
        <w:rPr>
          <w:rFonts w:asciiTheme="majorBidi" w:hAnsiTheme="majorBidi" w:cstheme="majorBidi"/>
          <w:i/>
          <w:iCs/>
          <w:sz w:val="24"/>
          <w:szCs w:val="24"/>
          <w:lang w:val="sr-Latn-RS"/>
        </w:rPr>
        <w:t>Mandatory</w:t>
      </w:r>
      <w:proofErr w:type="spellEnd"/>
      <w:r w:rsidRPr="00981180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981180"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1A1800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C6B82" w:rsidRDefault="006C6B82" w:rsidP="006C6B82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</w:rPr>
        <w:t>Ephrat</w:t>
      </w:r>
      <w:proofErr w:type="spellEnd"/>
      <w:r w:rsidRPr="003509BE">
        <w:rPr>
          <w:rFonts w:asciiTheme="majorBidi" w:hAnsiTheme="majorBidi" w:cstheme="majorBidi"/>
          <w:sz w:val="24"/>
          <w:szCs w:val="24"/>
        </w:rPr>
        <w:t xml:space="preserve">, Daphne. </w:t>
      </w:r>
      <w:r w:rsidRPr="003509BE">
        <w:rPr>
          <w:rFonts w:asciiTheme="majorBidi" w:hAnsiTheme="majorBidi" w:cstheme="majorBidi"/>
          <w:i/>
          <w:iCs/>
          <w:sz w:val="24"/>
          <w:szCs w:val="24"/>
        </w:rPr>
        <w:t xml:space="preserve">A Learned Society in a Period of Transition: The Sunni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</w:rPr>
        <w:t>Ulama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</w:rPr>
        <w:t xml:space="preserve"> of eleventh-century Baghdad. </w:t>
      </w:r>
      <w:r w:rsidRPr="003509BE">
        <w:rPr>
          <w:rFonts w:asciiTheme="majorBidi" w:hAnsiTheme="majorBidi" w:cstheme="majorBidi"/>
          <w:sz w:val="24"/>
          <w:szCs w:val="24"/>
        </w:rPr>
        <w:t>SUNY Press, 2003. Pp. 125-148.</w:t>
      </w:r>
    </w:p>
    <w:p w:rsidR="00981180" w:rsidRDefault="00981180" w:rsidP="00981180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Zilfi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Madeline C. “Introduction: Islam and the Ottoman Empire,” 23-42. In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Politics of Piety: The Ottoman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Ulema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in the Postclassical Age (1600-1800). </w:t>
      </w:r>
      <w:r>
        <w:rPr>
          <w:rFonts w:asciiTheme="majorBidi" w:hAnsiTheme="majorBidi" w:cstheme="majorBidi"/>
          <w:sz w:val="24"/>
          <w:szCs w:val="24"/>
        </w:rPr>
        <w:t xml:space="preserve">Minneapolis: Bibliotheca </w:t>
      </w:r>
      <w:proofErr w:type="spellStart"/>
      <w:r>
        <w:rPr>
          <w:rFonts w:asciiTheme="majorBidi" w:hAnsiTheme="majorBidi" w:cstheme="majorBidi"/>
          <w:sz w:val="24"/>
          <w:szCs w:val="24"/>
        </w:rPr>
        <w:t>Islamica</w:t>
      </w:r>
      <w:proofErr w:type="spellEnd"/>
      <w:r>
        <w:rPr>
          <w:rFonts w:asciiTheme="majorBidi" w:hAnsiTheme="majorBidi" w:cstheme="majorBidi"/>
          <w:sz w:val="24"/>
          <w:szCs w:val="24"/>
        </w:rPr>
        <w:t>, 1988.</w:t>
      </w:r>
    </w:p>
    <w:p w:rsidR="00981180" w:rsidRDefault="00981180" w:rsidP="00981180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A04956" w:rsidRDefault="00A04956" w:rsidP="00981180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Further Reading</w:t>
      </w:r>
    </w:p>
    <w:p w:rsidR="00A04956" w:rsidRPr="00A04956" w:rsidRDefault="00A04956" w:rsidP="00981180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D323B" w:rsidRDefault="00CD323B" w:rsidP="00A049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Moin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Azfar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Millenial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Sovereign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Sacred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Kingship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Sainthood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Islam.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New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York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Columbia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>, 2012.</w:t>
      </w:r>
    </w:p>
    <w:p w:rsidR="00CD323B" w:rsidRPr="003509BE" w:rsidRDefault="00CD323B" w:rsidP="00A049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Yilmaz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Husayn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Caliphate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Redefined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Mystical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Turn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Ottoman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Political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Thought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Princeton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>, 2018</w:t>
      </w:r>
    </w:p>
    <w:p w:rsidR="001A1800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A04956" w:rsidRDefault="00A04956" w:rsidP="00A04956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04:</w:t>
      </w:r>
      <w:r w:rsidR="008C2FB4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8C2FB4">
        <w:rPr>
          <w:rFonts w:asciiTheme="majorBidi" w:hAnsiTheme="majorBidi" w:cstheme="majorBidi"/>
          <w:b/>
          <w:bCs/>
          <w:sz w:val="24"/>
          <w:szCs w:val="24"/>
          <w:lang w:val="sr-Latn-RS"/>
        </w:rPr>
        <w:t>Institutionalization</w:t>
      </w:r>
      <w:proofErr w:type="spellEnd"/>
      <w:r w:rsidR="008C2FB4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8C2FB4">
        <w:rPr>
          <w:rFonts w:asciiTheme="majorBidi" w:hAnsiTheme="majorBidi" w:cstheme="majorBidi"/>
          <w:b/>
          <w:b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Christian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Monasticism</w:t>
      </w:r>
      <w:proofErr w:type="spellEnd"/>
      <w:r w:rsidR="008C2FB4">
        <w:rPr>
          <w:rFonts w:asciiTheme="majorBidi" w:hAnsiTheme="majorBidi" w:cstheme="majorBidi"/>
          <w:b/>
          <w:bCs/>
          <w:sz w:val="24"/>
          <w:szCs w:val="24"/>
          <w:lang w:val="sr-Latn-RS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Sufism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in Islam</w:t>
      </w:r>
    </w:p>
    <w:p w:rsidR="00A04956" w:rsidRDefault="00A04956" w:rsidP="00A04956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A04956" w:rsidRDefault="00A04956" w:rsidP="00A04956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Mandatory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A04956" w:rsidRDefault="00A04956" w:rsidP="00A049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A04956" w:rsidRPr="00A17014" w:rsidRDefault="00A17014" w:rsidP="00A049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Melville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Gert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Institutionalization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Religious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Orders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,“ 783-802.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Cambridge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History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Medieval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Monasticism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Latin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West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Edited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Alison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I.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Beach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Isabelle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Cochelin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Cambridge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Cambridge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2020.</w:t>
      </w:r>
    </w:p>
    <w:p w:rsidR="00A04956" w:rsidRDefault="00997DF3" w:rsidP="00A049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Green, Nile, “Origins, Foundations and Rivalries (850-1100),” 15-62. In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Sufism: A Global History. </w:t>
      </w:r>
      <w:r>
        <w:rPr>
          <w:rFonts w:asciiTheme="majorBidi" w:hAnsiTheme="majorBidi" w:cstheme="majorBidi"/>
          <w:sz w:val="24"/>
          <w:szCs w:val="24"/>
        </w:rPr>
        <w:t>Oxford: Wiley-Blackwell, 2012.</w:t>
      </w:r>
    </w:p>
    <w:p w:rsidR="00997DF3" w:rsidRDefault="00997DF3" w:rsidP="00A049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97DF3" w:rsidRDefault="00997DF3" w:rsidP="00A04956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Further Reading</w:t>
      </w:r>
    </w:p>
    <w:p w:rsidR="00997DF3" w:rsidRDefault="00997DF3" w:rsidP="00A04956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D323B" w:rsidRPr="00322A56" w:rsidRDefault="00CD323B" w:rsidP="00A049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</w:rPr>
        <w:t xml:space="preserve">Beach, Alison I, and Isabelle </w:t>
      </w:r>
      <w:proofErr w:type="spellStart"/>
      <w:r>
        <w:rPr>
          <w:rFonts w:asciiTheme="majorBidi" w:hAnsiTheme="majorBidi" w:cstheme="majorBidi"/>
          <w:sz w:val="24"/>
          <w:szCs w:val="24"/>
        </w:rPr>
        <w:t>Cochelin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eds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Cambridge History of Medieval Monasticism in the Latin West. </w:t>
      </w:r>
      <w:r>
        <w:rPr>
          <w:rFonts w:asciiTheme="majorBidi" w:hAnsiTheme="majorBidi" w:cstheme="majorBidi"/>
          <w:sz w:val="24"/>
          <w:szCs w:val="24"/>
        </w:rPr>
        <w:t>Cambridge: Cambridge University Press, 2020.</w:t>
      </w:r>
    </w:p>
    <w:p w:rsidR="00CD323B" w:rsidRDefault="00CD323B" w:rsidP="00A049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Caner, Daniel.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Wandering, Begging Monks: Spiritual Authority and the Promotion of Monasticism in Late Antiquity. </w:t>
      </w:r>
      <w:r>
        <w:rPr>
          <w:rFonts w:asciiTheme="majorBidi" w:hAnsiTheme="majorBidi" w:cstheme="majorBidi"/>
          <w:sz w:val="24"/>
          <w:szCs w:val="24"/>
        </w:rPr>
        <w:t>Berkeley: University of California Press, 2002.</w:t>
      </w:r>
    </w:p>
    <w:p w:rsidR="00B915FF" w:rsidRDefault="00CD323B" w:rsidP="00EC580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Ohlander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Erik. </w:t>
      </w:r>
      <w:r>
        <w:rPr>
          <w:rFonts w:asciiTheme="majorBidi" w:hAnsiTheme="majorBidi" w:cstheme="majorBidi"/>
          <w:i/>
          <w:iCs/>
          <w:sz w:val="24"/>
          <w:szCs w:val="24"/>
        </w:rPr>
        <w:t>Sufism in an Age of Transition: ‘Umar al-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Suhrawardī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and the Rise of Islamic Mystical Brotherhoods. </w:t>
      </w:r>
      <w:r>
        <w:rPr>
          <w:rFonts w:asciiTheme="majorBidi" w:hAnsiTheme="majorBidi" w:cstheme="majorBidi"/>
          <w:sz w:val="24"/>
          <w:szCs w:val="24"/>
        </w:rPr>
        <w:t>Leiden: Brill, 2008.</w:t>
      </w:r>
    </w:p>
    <w:p w:rsidR="00493228" w:rsidRPr="00EC580D" w:rsidRDefault="00493228" w:rsidP="00EC580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A1800" w:rsidRPr="006C4F00" w:rsidRDefault="006C4F00" w:rsidP="00A1522F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  <w:t xml:space="preserve">PART 2: DIVINE GRACE </w:t>
      </w:r>
      <w:r w:rsidR="00BE1F1D"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  <w:t>AMONG THE MUSLIMS AND CHRISTIANS</w:t>
      </w:r>
    </w:p>
    <w:p w:rsidR="006C4F00" w:rsidRDefault="006C4F00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DB085A" w:rsidRDefault="00092E96" w:rsidP="00CD323B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05: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Wonder-working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r w:rsidR="00CD323B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in </w:t>
      </w:r>
      <w:proofErr w:type="spellStart"/>
      <w:r w:rsidR="00CD323B">
        <w:rPr>
          <w:rFonts w:asciiTheme="majorBidi" w:hAnsiTheme="majorBidi" w:cstheme="majorBidi"/>
          <w:b/>
          <w:bCs/>
          <w:sz w:val="24"/>
          <w:szCs w:val="24"/>
          <w:lang w:val="sr-Latn-RS"/>
        </w:rPr>
        <w:t>Christianity</w:t>
      </w:r>
      <w:proofErr w:type="spellEnd"/>
      <w:r w:rsidR="00CD323B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CD323B">
        <w:rPr>
          <w:rFonts w:asciiTheme="majorBidi" w:hAnsiTheme="majorBidi" w:cstheme="majorBidi"/>
          <w:b/>
          <w:bCs/>
          <w:sz w:val="24"/>
          <w:szCs w:val="24"/>
          <w:lang w:val="sr-Latn-RS"/>
        </w:rPr>
        <w:t>and</w:t>
      </w:r>
      <w:proofErr w:type="spellEnd"/>
      <w:r w:rsidR="00CD323B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Islam</w:t>
      </w:r>
    </w:p>
    <w:p w:rsidR="001A1800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DF736A" w:rsidRPr="00DF736A" w:rsidRDefault="00DF736A" w:rsidP="00DF736A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Mandatory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C76CBD" w:rsidRDefault="00C76CBD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C76CBD" w:rsidRDefault="00C76CBD" w:rsidP="00C76CB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Weddle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>, David L.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Preliminary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Considerations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,“ 1-34. In</w:t>
      </w:r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Miracles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Wonder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Meaning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World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Religions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New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York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>, 2010.</w:t>
      </w:r>
    </w:p>
    <w:p w:rsidR="0078146B" w:rsidRPr="0078146B" w:rsidRDefault="0078146B" w:rsidP="00767D3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Bartlett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Robert.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Miracles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,“ 333-40</w:t>
      </w:r>
      <w:r w:rsidR="00767D3F">
        <w:rPr>
          <w:rFonts w:asciiTheme="majorBidi" w:hAnsiTheme="majorBidi" w:cstheme="majorBidi"/>
          <w:sz w:val="24"/>
          <w:szCs w:val="24"/>
          <w:lang w:val="sr-Latn-RS"/>
        </w:rPr>
        <w:t>9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Why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Dead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do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Such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Great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Things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?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Saints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Worshippers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from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Martyrs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to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Reformation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Princeton&amp;Oxford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Princeton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2013.</w:t>
      </w:r>
    </w:p>
    <w:p w:rsidR="00FC4E53" w:rsidRDefault="00FC4E53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Asatrian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Mushegh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>. “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Ibn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Khaldun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on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Magic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Occult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.“ </w:t>
      </w:r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Iran &amp;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Caucasus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, </w:t>
      </w:r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2003,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Vol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>. 7 No. 1/2 (2003): 73-123.</w:t>
      </w:r>
    </w:p>
    <w:p w:rsidR="00DF736A" w:rsidRDefault="00DF736A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DF736A" w:rsidRDefault="00DF736A" w:rsidP="003509B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Further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DF736A" w:rsidRDefault="00DF736A" w:rsidP="00DF736A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</w:p>
    <w:p w:rsidR="00DF736A" w:rsidRPr="003509BE" w:rsidRDefault="00DF736A" w:rsidP="00285358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Frazer, Sir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James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George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Golden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Bough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A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Study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Magic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Religion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Floating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2009. </w:t>
      </w:r>
    </w:p>
    <w:p w:rsidR="00DF736A" w:rsidRDefault="00DF736A" w:rsidP="00285358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Emile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Durkheim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Elementary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Forms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Religious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Life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Trans.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Karen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285358">
        <w:rPr>
          <w:rFonts w:asciiTheme="majorBidi" w:hAnsiTheme="majorBidi" w:cstheme="majorBidi"/>
          <w:sz w:val="24"/>
          <w:szCs w:val="24"/>
          <w:lang w:val="sr-Latn-RS"/>
        </w:rPr>
        <w:t xml:space="preserve">E. </w:t>
      </w:r>
      <w:proofErr w:type="spellStart"/>
      <w:r w:rsidR="00285358">
        <w:rPr>
          <w:rFonts w:asciiTheme="majorBidi" w:hAnsiTheme="majorBidi" w:cstheme="majorBidi"/>
          <w:sz w:val="24"/>
          <w:szCs w:val="24"/>
          <w:lang w:val="sr-Latn-RS"/>
        </w:rPr>
        <w:t>Fields</w:t>
      </w:r>
      <w:proofErr w:type="spellEnd"/>
      <w:r w:rsidR="00285358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 w:rsidR="00285358"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 w:rsidR="00285358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285358">
        <w:rPr>
          <w:rFonts w:asciiTheme="majorBidi" w:hAnsiTheme="majorBidi" w:cstheme="majorBidi"/>
          <w:sz w:val="24"/>
          <w:szCs w:val="24"/>
          <w:lang w:val="sr-Latn-RS"/>
        </w:rPr>
        <w:t>Free</w:t>
      </w:r>
      <w:proofErr w:type="spellEnd"/>
      <w:r w:rsidR="00285358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285358"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 w:rsidR="00285358">
        <w:rPr>
          <w:rFonts w:asciiTheme="majorBidi" w:hAnsiTheme="majorBidi" w:cstheme="majorBidi"/>
          <w:sz w:val="24"/>
          <w:szCs w:val="24"/>
          <w:lang w:val="sr-Latn-RS"/>
        </w:rPr>
        <w:t>, 1995</w:t>
      </w:r>
      <w:r w:rsidRPr="003509BE">
        <w:rPr>
          <w:rFonts w:asciiTheme="majorBidi" w:hAnsiTheme="majorBidi" w:cstheme="majorBidi"/>
          <w:sz w:val="24"/>
          <w:szCs w:val="24"/>
          <w:lang w:val="sr-Latn-RS"/>
        </w:rPr>
        <w:t>.</w:t>
      </w:r>
    </w:p>
    <w:p w:rsidR="00DF736A" w:rsidRPr="003509BE" w:rsidRDefault="00DF736A" w:rsidP="00DF736A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 w:rsidRPr="00F403C1">
        <w:rPr>
          <w:rFonts w:asciiTheme="majorBidi" w:hAnsiTheme="majorBidi" w:cstheme="majorBidi"/>
          <w:sz w:val="24"/>
          <w:szCs w:val="24"/>
        </w:rPr>
        <w:t xml:space="preserve">Ibn </w:t>
      </w:r>
      <w:proofErr w:type="spellStart"/>
      <w:r w:rsidRPr="00F403C1">
        <w:rPr>
          <w:rFonts w:asciiTheme="majorBidi" w:hAnsiTheme="majorBidi" w:cstheme="majorBidi"/>
          <w:sz w:val="24"/>
          <w:szCs w:val="24"/>
        </w:rPr>
        <w:t>Khaldūn</w:t>
      </w:r>
      <w:proofErr w:type="spellEnd"/>
      <w:r w:rsidRPr="00F403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03C1">
        <w:rPr>
          <w:rFonts w:asciiTheme="majorBidi" w:hAnsiTheme="majorBidi" w:cstheme="majorBidi"/>
          <w:sz w:val="24"/>
          <w:szCs w:val="24"/>
        </w:rPr>
        <w:t>Abū</w:t>
      </w:r>
      <w:proofErr w:type="spellEnd"/>
      <w:r w:rsidRPr="00F403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03C1">
        <w:rPr>
          <w:rFonts w:asciiTheme="majorBidi" w:hAnsiTheme="majorBidi" w:cstheme="majorBidi"/>
          <w:sz w:val="24"/>
          <w:szCs w:val="24"/>
        </w:rPr>
        <w:t>Zayd</w:t>
      </w:r>
      <w:proofErr w:type="spellEnd"/>
      <w:r w:rsidRPr="00F403C1">
        <w:rPr>
          <w:rFonts w:asciiTheme="majorBidi" w:hAnsiTheme="majorBidi" w:cstheme="majorBidi"/>
          <w:sz w:val="24"/>
          <w:szCs w:val="24"/>
        </w:rPr>
        <w:t>.</w:t>
      </w:r>
      <w:r w:rsidRPr="00DF73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Muqaddimah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: An Introduction to History,</w:t>
      </w:r>
      <w:r>
        <w:rPr>
          <w:rFonts w:asciiTheme="majorBidi" w:hAnsiTheme="majorBidi" w:cstheme="majorBidi"/>
          <w:sz w:val="24"/>
          <w:szCs w:val="24"/>
        </w:rPr>
        <w:t xml:space="preserve"> 3 volumes. Translated by Franz Rosenthal. London: Routledge, 1958.</w:t>
      </w:r>
    </w:p>
    <w:p w:rsidR="00DF736A" w:rsidRPr="00DF736A" w:rsidRDefault="00DF736A" w:rsidP="003509B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</w:p>
    <w:p w:rsidR="001A1800" w:rsidRPr="003509BE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FC4E53" w:rsidRDefault="00FC4E53" w:rsidP="009F69AB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06: </w:t>
      </w:r>
      <w:proofErr w:type="spellStart"/>
      <w:r w:rsidR="00402BED">
        <w:rPr>
          <w:rFonts w:asciiTheme="majorBidi" w:hAnsiTheme="majorBidi" w:cstheme="majorBidi"/>
          <w:b/>
          <w:bCs/>
          <w:sz w:val="24"/>
          <w:szCs w:val="24"/>
          <w:lang w:val="sr-Latn-RS"/>
        </w:rPr>
        <w:t>Ministers</w:t>
      </w:r>
      <w:proofErr w:type="spellEnd"/>
      <w:r w:rsidR="00402BED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to </w:t>
      </w:r>
      <w:proofErr w:type="spellStart"/>
      <w:r w:rsidR="00402BED">
        <w:rPr>
          <w:rFonts w:asciiTheme="majorBidi" w:hAnsiTheme="majorBidi" w:cstheme="majorBidi"/>
          <w:b/>
          <w:bCs/>
          <w:sz w:val="24"/>
          <w:szCs w:val="24"/>
          <w:lang w:val="sr-Latn-RS"/>
        </w:rPr>
        <w:t>the</w:t>
      </w:r>
      <w:proofErr w:type="spellEnd"/>
      <w:r w:rsidR="00402BED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402BED">
        <w:rPr>
          <w:rFonts w:asciiTheme="majorBidi" w:hAnsiTheme="majorBidi" w:cstheme="majorBidi"/>
          <w:b/>
          <w:bCs/>
          <w:sz w:val="24"/>
          <w:szCs w:val="24"/>
          <w:lang w:val="sr-Latn-RS"/>
        </w:rPr>
        <w:t>People</w:t>
      </w:r>
      <w:proofErr w:type="spellEnd"/>
    </w:p>
    <w:p w:rsidR="00402BED" w:rsidRDefault="00402BED" w:rsidP="00402BED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555103" w:rsidRPr="00555103" w:rsidRDefault="00555103" w:rsidP="00402BED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Mandatory Reading</w:t>
      </w:r>
    </w:p>
    <w:p w:rsidR="00555103" w:rsidRDefault="00555103" w:rsidP="00402BE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02BED" w:rsidRPr="003509BE" w:rsidRDefault="00402BED" w:rsidP="00402BE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3509BE">
        <w:rPr>
          <w:rFonts w:asciiTheme="majorBidi" w:hAnsiTheme="majorBidi" w:cstheme="majorBidi"/>
          <w:sz w:val="24"/>
          <w:szCs w:val="24"/>
        </w:rPr>
        <w:t xml:space="preserve">Thomas, Keith. </w:t>
      </w:r>
      <w:r>
        <w:rPr>
          <w:rFonts w:asciiTheme="majorBidi" w:hAnsiTheme="majorBidi" w:cstheme="majorBidi"/>
          <w:sz w:val="24"/>
          <w:szCs w:val="24"/>
        </w:rPr>
        <w:t xml:space="preserve">“The Magic of the Medieval Church,” 27-57. In </w:t>
      </w:r>
      <w:r w:rsidRPr="003509BE">
        <w:rPr>
          <w:rFonts w:asciiTheme="majorBidi" w:hAnsiTheme="majorBidi" w:cstheme="majorBidi"/>
          <w:i/>
          <w:iCs/>
          <w:sz w:val="24"/>
          <w:szCs w:val="24"/>
        </w:rPr>
        <w:t xml:space="preserve">Religion and the Decline of Magic. </w:t>
      </w:r>
      <w:r>
        <w:rPr>
          <w:rFonts w:asciiTheme="majorBidi" w:hAnsiTheme="majorBidi" w:cstheme="majorBidi"/>
          <w:sz w:val="24"/>
          <w:szCs w:val="24"/>
        </w:rPr>
        <w:t>Penguin Books, 1991.</w:t>
      </w:r>
    </w:p>
    <w:p w:rsidR="00402BED" w:rsidRDefault="009F69AB" w:rsidP="00402BE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Grehan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James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Magic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Men,“ 62-84.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Twilight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Saints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Everyday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Religion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Ottoman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Syria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Palestine.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2014.</w:t>
      </w:r>
    </w:p>
    <w:p w:rsidR="009F69AB" w:rsidRDefault="009F69AB" w:rsidP="00402BED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9F69AB" w:rsidRPr="009F69AB" w:rsidRDefault="009F69AB" w:rsidP="00402BED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Further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1A1800" w:rsidRPr="003509BE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8A3C72" w:rsidRDefault="00FC4E53" w:rsidP="008A3C72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Geoffroy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Eric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Introduction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to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Sufism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Inner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Path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to Islam. </w:t>
      </w:r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Trans.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Roger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Gaetani</w:t>
      </w:r>
      <w:proofErr w:type="spellEnd"/>
      <w:r w:rsidR="008A3C72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 w:rsidR="008A3C72">
        <w:rPr>
          <w:rFonts w:asciiTheme="majorBidi" w:hAnsiTheme="majorBidi" w:cstheme="majorBidi"/>
          <w:sz w:val="24"/>
          <w:szCs w:val="24"/>
          <w:lang w:val="sr-Latn-RS"/>
        </w:rPr>
        <w:t>World</w:t>
      </w:r>
      <w:proofErr w:type="spellEnd"/>
      <w:r w:rsidR="008A3C72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8A3C72">
        <w:rPr>
          <w:rFonts w:asciiTheme="majorBidi" w:hAnsiTheme="majorBidi" w:cstheme="majorBidi"/>
          <w:sz w:val="24"/>
          <w:szCs w:val="24"/>
          <w:lang w:val="sr-Latn-RS"/>
        </w:rPr>
        <w:t>Wisdom</w:t>
      </w:r>
      <w:proofErr w:type="spellEnd"/>
      <w:r w:rsidR="008A3C72">
        <w:rPr>
          <w:rFonts w:asciiTheme="majorBidi" w:hAnsiTheme="majorBidi" w:cstheme="majorBidi"/>
          <w:sz w:val="24"/>
          <w:szCs w:val="24"/>
          <w:lang w:val="sr-Latn-RS"/>
        </w:rPr>
        <w:t>, 2010.</w:t>
      </w:r>
    </w:p>
    <w:p w:rsidR="008A3C72" w:rsidRPr="003509BE" w:rsidRDefault="008A3C72" w:rsidP="008A3C72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736540">
        <w:rPr>
          <w:rFonts w:asciiTheme="majorBidi" w:hAnsiTheme="majorBidi" w:cstheme="majorBidi"/>
          <w:sz w:val="24"/>
          <w:szCs w:val="24"/>
        </w:rPr>
        <w:t>Klaniczay</w:t>
      </w:r>
      <w:proofErr w:type="spellEnd"/>
      <w:r w:rsidRPr="0073654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540">
        <w:rPr>
          <w:rFonts w:asciiTheme="majorBidi" w:hAnsiTheme="majorBidi" w:cstheme="majorBidi"/>
          <w:sz w:val="24"/>
          <w:szCs w:val="24"/>
        </w:rPr>
        <w:t>Gábor</w:t>
      </w:r>
      <w:proofErr w:type="spellEnd"/>
      <w:r w:rsidRPr="00736540">
        <w:rPr>
          <w:rFonts w:asciiTheme="majorBidi" w:hAnsiTheme="majorBidi" w:cstheme="majorBidi"/>
          <w:sz w:val="24"/>
          <w:szCs w:val="24"/>
        </w:rPr>
        <w:t xml:space="preserve">. </w:t>
      </w:r>
      <w:r w:rsidRPr="00736540">
        <w:rPr>
          <w:rFonts w:asciiTheme="majorBidi" w:hAnsiTheme="majorBidi" w:cstheme="majorBidi"/>
          <w:i/>
          <w:iCs/>
          <w:sz w:val="24"/>
          <w:szCs w:val="24"/>
        </w:rPr>
        <w:t>The Uses of Supernatural Power: The Transformation of Popular Religion in Medieval and Early-Modern Europe.</w:t>
      </w:r>
      <w:r w:rsidRPr="00736540">
        <w:rPr>
          <w:rFonts w:asciiTheme="majorBidi" w:hAnsiTheme="majorBidi" w:cstheme="majorBidi"/>
          <w:sz w:val="24"/>
          <w:szCs w:val="24"/>
        </w:rPr>
        <w:t xml:space="preserve"> Princeton: Princeton University Press, 1990.</w:t>
      </w:r>
    </w:p>
    <w:p w:rsidR="001A1800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EC580D" w:rsidRDefault="00EC580D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EC580D" w:rsidRDefault="00EC580D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EC580D" w:rsidRPr="003509BE" w:rsidRDefault="00EC580D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063026" w:rsidRDefault="00063026" w:rsidP="0034608C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07: </w:t>
      </w:r>
      <w:proofErr w:type="spellStart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>Cults</w:t>
      </w:r>
      <w:proofErr w:type="spellEnd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>of</w:t>
      </w:r>
      <w:proofErr w:type="spellEnd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>Saints</w:t>
      </w:r>
      <w:proofErr w:type="spellEnd"/>
      <w:r w:rsidR="00C90248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C90248">
        <w:rPr>
          <w:rFonts w:asciiTheme="majorBidi" w:hAnsiTheme="majorBidi" w:cstheme="majorBidi"/>
          <w:b/>
          <w:bCs/>
          <w:sz w:val="24"/>
          <w:szCs w:val="24"/>
          <w:lang w:val="sr-Latn-RS"/>
        </w:rPr>
        <w:t>and</w:t>
      </w:r>
      <w:proofErr w:type="spellEnd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>Tomb</w:t>
      </w:r>
      <w:proofErr w:type="spellEnd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34608C">
        <w:rPr>
          <w:rFonts w:asciiTheme="majorBidi" w:hAnsiTheme="majorBidi" w:cstheme="majorBidi"/>
          <w:b/>
          <w:bCs/>
          <w:sz w:val="24"/>
          <w:szCs w:val="24"/>
          <w:lang w:val="sr-Latn-RS"/>
        </w:rPr>
        <w:t>Pilgrimages</w:t>
      </w:r>
      <w:proofErr w:type="spellEnd"/>
    </w:p>
    <w:p w:rsidR="001A1800" w:rsidRPr="003509BE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767D3F" w:rsidRPr="00767D3F" w:rsidRDefault="00767D3F" w:rsidP="003509B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 w:rsidRPr="00767D3F">
        <w:rPr>
          <w:rFonts w:asciiTheme="majorBidi" w:hAnsiTheme="majorBidi" w:cstheme="majorBidi"/>
          <w:i/>
          <w:iCs/>
          <w:sz w:val="24"/>
          <w:szCs w:val="24"/>
          <w:lang w:val="sr-Latn-RS"/>
        </w:rPr>
        <w:t>Mandatory</w:t>
      </w:r>
      <w:proofErr w:type="spellEnd"/>
      <w:r w:rsidRPr="00767D3F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767D3F"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767D3F" w:rsidRDefault="00767D3F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767D3F" w:rsidRDefault="00767D3F" w:rsidP="00767D3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Bartlett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Robert.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Pilgrimage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,“ 410-443.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Why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Dead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do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Such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Great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Things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?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Saints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Worshippers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from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Martyrs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to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Reformation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Princeton&amp;Oxford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Princeton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2013.</w:t>
      </w:r>
    </w:p>
    <w:p w:rsidR="0034608C" w:rsidRPr="0034608C" w:rsidRDefault="0034608C" w:rsidP="00767D3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Taylor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Cristopher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Schurman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Ziyāra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,“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“Baraka,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Miracle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Mediation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,“ 62-79, 127-168.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Vicinity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Righteous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Ziyāra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Veneration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Muslim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Saints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late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medieval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Egypt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Leiden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Brill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1998.</w:t>
      </w:r>
    </w:p>
    <w:p w:rsidR="00767D3F" w:rsidRDefault="00767D3F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767D3F" w:rsidRDefault="00767D3F" w:rsidP="003509B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Further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767D3F" w:rsidRDefault="00767D3F" w:rsidP="003509B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</w:p>
    <w:p w:rsidR="0034608C" w:rsidRDefault="0034608C" w:rsidP="00767D3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34608C" w:rsidRDefault="0034608C" w:rsidP="0034608C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Schöller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Marco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Living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Dead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Islam: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Studies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Arabic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Epitaphs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II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Wiesb</w:t>
      </w:r>
      <w:r>
        <w:rPr>
          <w:rFonts w:asciiTheme="majorBidi" w:hAnsiTheme="majorBidi" w:cstheme="majorBidi"/>
          <w:sz w:val="24"/>
          <w:szCs w:val="24"/>
          <w:lang w:val="sr-Latn-RS"/>
        </w:rPr>
        <w:t>aden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Harrasowitz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Verlag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2004.</w:t>
      </w:r>
    </w:p>
    <w:p w:rsidR="00767D3F" w:rsidRDefault="00767D3F" w:rsidP="0034608C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Swanson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R.N.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Religion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Devotion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Europe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c. 1215- c. 1515.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Cambridge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1995.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Pp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>. 191-224.</w:t>
      </w:r>
    </w:p>
    <w:p w:rsidR="00767D3F" w:rsidRPr="00767D3F" w:rsidRDefault="00767D3F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Walsham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Alexandra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Reformation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Landscape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Religion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Identity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Memory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Early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Modern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Britain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Ireland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2011.</w:t>
      </w:r>
    </w:p>
    <w:p w:rsidR="001A1800" w:rsidRPr="003509BE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E048A4" w:rsidRDefault="00E048A4" w:rsidP="00B9752E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08</w:t>
      </w:r>
      <w:r w:rsidR="001D4153">
        <w:rPr>
          <w:rFonts w:asciiTheme="majorBidi" w:hAnsiTheme="majorBidi" w:cstheme="majorBidi"/>
          <w:b/>
          <w:bCs/>
          <w:sz w:val="24"/>
          <w:szCs w:val="24"/>
          <w:lang w:val="sr-Latn-RS"/>
        </w:rPr>
        <w:t>:</w:t>
      </w:r>
      <w:r w:rsidRPr="003509BE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b/>
          <w:bCs/>
          <w:sz w:val="24"/>
          <w:szCs w:val="24"/>
          <w:lang w:val="sr-Latn-RS"/>
        </w:rPr>
        <w:t>Contested</w:t>
      </w:r>
      <w:proofErr w:type="spellEnd"/>
      <w:r w:rsidR="001D4153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b/>
          <w:bCs/>
          <w:sz w:val="24"/>
          <w:szCs w:val="24"/>
          <w:lang w:val="sr-Latn-RS"/>
        </w:rPr>
        <w:t>Practices</w:t>
      </w:r>
      <w:proofErr w:type="spellEnd"/>
    </w:p>
    <w:p w:rsidR="001A1800" w:rsidRPr="003509BE" w:rsidRDefault="001A1800" w:rsidP="001D4153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B9752E" w:rsidRPr="00B9752E" w:rsidRDefault="00B9752E" w:rsidP="00B9752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Mandatory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B9752E" w:rsidRDefault="00B9752E" w:rsidP="00B975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34608C" w:rsidRDefault="0034608C" w:rsidP="00B975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Styers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Randall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r w:rsidR="00B9752E">
        <w:rPr>
          <w:rFonts w:asciiTheme="majorBidi" w:hAnsiTheme="majorBidi" w:cstheme="majorBidi"/>
          <w:sz w:val="24"/>
          <w:szCs w:val="24"/>
          <w:lang w:val="sr-Latn-RS"/>
        </w:rPr>
        <w:t>“</w:t>
      </w:r>
      <w:proofErr w:type="spellStart"/>
      <w:r w:rsidR="00B9752E">
        <w:rPr>
          <w:rFonts w:asciiTheme="majorBidi" w:hAnsiTheme="majorBidi" w:cstheme="majorBidi"/>
          <w:sz w:val="24"/>
          <w:szCs w:val="24"/>
          <w:lang w:val="sr-Latn-RS"/>
        </w:rPr>
        <w:t>Introduction</w:t>
      </w:r>
      <w:proofErr w:type="spellEnd"/>
      <w:r w:rsidR="00B9752E">
        <w:rPr>
          <w:rFonts w:asciiTheme="majorBidi" w:hAnsiTheme="majorBidi" w:cstheme="majorBidi"/>
          <w:sz w:val="24"/>
          <w:szCs w:val="24"/>
          <w:lang w:val="sr-Latn-RS"/>
        </w:rPr>
        <w:t xml:space="preserve">,“ 3-24. 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In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Making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Magic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Religion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,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Magic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Science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Modern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World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2004.</w:t>
      </w:r>
    </w:p>
    <w:p w:rsidR="00E048A4" w:rsidRDefault="00E048A4" w:rsidP="00B975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Bailey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Michael</w:t>
      </w:r>
      <w:proofErr w:type="spellEnd"/>
      <w:r w:rsidRPr="003509BE">
        <w:rPr>
          <w:rFonts w:asciiTheme="majorBidi" w:hAnsiTheme="majorBidi" w:cstheme="majorBidi"/>
          <w:sz w:val="24"/>
          <w:szCs w:val="24"/>
          <w:lang w:val="sr-Latn-RS"/>
        </w:rPr>
        <w:t xml:space="preserve"> D.</w:t>
      </w:r>
      <w:r w:rsidR="00B9752E" w:rsidRPr="00B975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B9752E">
        <w:rPr>
          <w:rFonts w:asciiTheme="majorBidi" w:hAnsiTheme="majorBidi" w:cstheme="majorBidi"/>
          <w:sz w:val="24"/>
          <w:szCs w:val="24"/>
          <w:lang w:val="sr-Latn-RS"/>
        </w:rPr>
        <w:t>“</w:t>
      </w:r>
      <w:proofErr w:type="spellStart"/>
      <w:r w:rsidR="00B9752E"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 w:rsidR="00B975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B9752E">
        <w:rPr>
          <w:rFonts w:asciiTheme="majorBidi" w:hAnsiTheme="majorBidi" w:cstheme="majorBidi"/>
          <w:sz w:val="24"/>
          <w:szCs w:val="24"/>
          <w:lang w:val="sr-Latn-RS"/>
        </w:rPr>
        <w:t>Medieval</w:t>
      </w:r>
      <w:proofErr w:type="spellEnd"/>
      <w:r w:rsidR="00B975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B9752E">
        <w:rPr>
          <w:rFonts w:asciiTheme="majorBidi" w:hAnsiTheme="majorBidi" w:cstheme="majorBidi"/>
          <w:sz w:val="24"/>
          <w:szCs w:val="24"/>
          <w:lang w:val="sr-Latn-RS"/>
        </w:rPr>
        <w:t>Condemnation</w:t>
      </w:r>
      <w:proofErr w:type="spellEnd"/>
      <w:r w:rsidR="00B975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B9752E">
        <w:rPr>
          <w:rFonts w:asciiTheme="majorBidi" w:hAnsiTheme="majorBidi" w:cstheme="majorBidi"/>
          <w:sz w:val="24"/>
          <w:szCs w:val="24"/>
          <w:lang w:val="sr-Latn-RS"/>
        </w:rPr>
        <w:t>of</w:t>
      </w:r>
      <w:proofErr w:type="spellEnd"/>
      <w:r w:rsidR="00B975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B9752E">
        <w:rPr>
          <w:rFonts w:asciiTheme="majorBidi" w:hAnsiTheme="majorBidi" w:cstheme="majorBidi"/>
          <w:sz w:val="24"/>
          <w:szCs w:val="24"/>
          <w:lang w:val="sr-Latn-RS"/>
        </w:rPr>
        <w:t>Magic</w:t>
      </w:r>
      <w:proofErr w:type="spellEnd"/>
      <w:r w:rsidR="00B9752E">
        <w:rPr>
          <w:rFonts w:asciiTheme="majorBidi" w:hAnsiTheme="majorBidi" w:cstheme="majorBidi"/>
          <w:sz w:val="24"/>
          <w:szCs w:val="24"/>
          <w:lang w:val="sr-Latn-RS"/>
        </w:rPr>
        <w:t xml:space="preserve">, 1000-1500,“ 107-140. In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Magic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Superstition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Europe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A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Concise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History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from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Antiquity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to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>Present</w:t>
      </w:r>
      <w:proofErr w:type="spellEnd"/>
      <w:r w:rsidRPr="003509B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 w:rsidRPr="003509BE">
        <w:rPr>
          <w:rFonts w:asciiTheme="majorBidi" w:hAnsiTheme="majorBidi" w:cstheme="majorBidi"/>
          <w:sz w:val="24"/>
          <w:szCs w:val="24"/>
          <w:lang w:val="sr-Latn-RS"/>
        </w:rPr>
        <w:t>Rowman&amp;Litt</w:t>
      </w:r>
      <w:r w:rsidR="00B9752E">
        <w:rPr>
          <w:rFonts w:asciiTheme="majorBidi" w:hAnsiTheme="majorBidi" w:cstheme="majorBidi"/>
          <w:sz w:val="24"/>
          <w:szCs w:val="24"/>
          <w:lang w:val="sr-Latn-RS"/>
        </w:rPr>
        <w:t>lefield</w:t>
      </w:r>
      <w:proofErr w:type="spellEnd"/>
      <w:r w:rsidR="00B975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B9752E">
        <w:rPr>
          <w:rFonts w:asciiTheme="majorBidi" w:hAnsiTheme="majorBidi" w:cstheme="majorBidi"/>
          <w:sz w:val="24"/>
          <w:szCs w:val="24"/>
          <w:lang w:val="sr-Latn-RS"/>
        </w:rPr>
        <w:t>Publishers</w:t>
      </w:r>
      <w:proofErr w:type="spellEnd"/>
      <w:r w:rsidR="00B9752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="00B9752E">
        <w:rPr>
          <w:rFonts w:asciiTheme="majorBidi" w:hAnsiTheme="majorBidi" w:cstheme="majorBidi"/>
          <w:sz w:val="24"/>
          <w:szCs w:val="24"/>
          <w:lang w:val="sr-Latn-RS"/>
        </w:rPr>
        <w:t>Inc</w:t>
      </w:r>
      <w:proofErr w:type="spellEnd"/>
      <w:r w:rsidR="00B9752E">
        <w:rPr>
          <w:rFonts w:asciiTheme="majorBidi" w:hAnsiTheme="majorBidi" w:cstheme="majorBidi"/>
          <w:sz w:val="24"/>
          <w:szCs w:val="24"/>
          <w:lang w:val="sr-Latn-RS"/>
        </w:rPr>
        <w:t>., 2007.</w:t>
      </w:r>
    </w:p>
    <w:p w:rsidR="001D4153" w:rsidRDefault="00B9752E" w:rsidP="00B975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Burnett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="001D4153">
        <w:rPr>
          <w:rFonts w:asciiTheme="majorBidi" w:hAnsiTheme="majorBidi" w:cstheme="majorBidi"/>
          <w:sz w:val="24"/>
          <w:szCs w:val="24"/>
          <w:lang w:val="sr-Latn-RS"/>
        </w:rPr>
        <w:t>Charless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</w:t>
      </w:r>
      <w:r w:rsidR="001D4153">
        <w:rPr>
          <w:rFonts w:asciiTheme="majorBidi" w:hAnsiTheme="majorBidi" w:cstheme="majorBidi"/>
          <w:sz w:val="24"/>
          <w:szCs w:val="24"/>
          <w:lang w:val="sr-Latn-RS"/>
        </w:rPr>
        <w:t xml:space="preserve"> “</w:t>
      </w:r>
      <w:proofErr w:type="spellStart"/>
      <w:r w:rsidR="001D4153"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 w:rsidR="001D4153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sz w:val="24"/>
          <w:szCs w:val="24"/>
          <w:lang w:val="sr-Latn-RS"/>
        </w:rPr>
        <w:t>Three</w:t>
      </w:r>
      <w:proofErr w:type="spellEnd"/>
      <w:r w:rsidR="001D4153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sz w:val="24"/>
          <w:szCs w:val="24"/>
          <w:lang w:val="sr-Latn-RS"/>
        </w:rPr>
        <w:t>Divisions</w:t>
      </w:r>
      <w:proofErr w:type="spellEnd"/>
      <w:r w:rsidR="001D4153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sz w:val="24"/>
          <w:szCs w:val="24"/>
          <w:lang w:val="sr-Latn-RS"/>
        </w:rPr>
        <w:t>of</w:t>
      </w:r>
      <w:proofErr w:type="spellEnd"/>
      <w:r w:rsidR="001D4153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sz w:val="24"/>
          <w:szCs w:val="24"/>
          <w:lang w:val="sr-Latn-RS"/>
        </w:rPr>
        <w:t>Arabic</w:t>
      </w:r>
      <w:proofErr w:type="spellEnd"/>
      <w:r w:rsidR="001D4153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sz w:val="24"/>
          <w:szCs w:val="24"/>
          <w:lang w:val="sr-Latn-RS"/>
        </w:rPr>
        <w:t>Magic</w:t>
      </w:r>
      <w:proofErr w:type="spellEnd"/>
      <w:r w:rsidR="001D4153">
        <w:rPr>
          <w:rFonts w:asciiTheme="majorBidi" w:hAnsiTheme="majorBidi" w:cstheme="majorBidi"/>
          <w:sz w:val="24"/>
          <w:szCs w:val="24"/>
          <w:lang w:val="sr-Latn-RS"/>
        </w:rPr>
        <w:t>,“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 43-56.</w:t>
      </w:r>
      <w:r w:rsidR="001D4153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r-Latn-RS"/>
        </w:rPr>
        <w:t>I</w:t>
      </w:r>
      <w:r w:rsidR="001D4153">
        <w:rPr>
          <w:rFonts w:asciiTheme="majorBidi" w:hAnsiTheme="majorBidi" w:cstheme="majorBidi"/>
          <w:sz w:val="24"/>
          <w:szCs w:val="24"/>
          <w:lang w:val="sr-Latn-RS"/>
        </w:rPr>
        <w:t xml:space="preserve">n </w:t>
      </w:r>
      <w:proofErr w:type="spellStart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>Islamicate</w:t>
      </w:r>
      <w:proofErr w:type="spellEnd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>Occult</w:t>
      </w:r>
      <w:proofErr w:type="spellEnd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>Sciences</w:t>
      </w:r>
      <w:proofErr w:type="spellEnd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Theory</w:t>
      </w:r>
      <w:proofErr w:type="spellEnd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>Practice</w:t>
      </w:r>
      <w:proofErr w:type="spellEnd"/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Edited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Liana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Saif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Francesca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Leoni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</w:t>
      </w:r>
      <w:r w:rsidR="001D4153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Leiden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 w:rsidR="001D4153">
        <w:rPr>
          <w:rFonts w:asciiTheme="majorBidi" w:hAnsiTheme="majorBidi" w:cstheme="majorBidi"/>
          <w:sz w:val="24"/>
          <w:szCs w:val="24"/>
          <w:lang w:val="sr-Latn-RS"/>
        </w:rPr>
        <w:t>Brill</w:t>
      </w:r>
      <w:proofErr w:type="spellEnd"/>
      <w:r w:rsidR="001D4153">
        <w:rPr>
          <w:rFonts w:asciiTheme="majorBidi" w:hAnsiTheme="majorBidi" w:cstheme="majorBidi"/>
          <w:sz w:val="24"/>
          <w:szCs w:val="24"/>
          <w:lang w:val="sr-Latn-RS"/>
        </w:rPr>
        <w:t>, 2020.</w:t>
      </w:r>
    </w:p>
    <w:p w:rsidR="00093413" w:rsidRDefault="00093413" w:rsidP="00B975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093413" w:rsidRDefault="00093413" w:rsidP="00B9752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Further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093413" w:rsidRDefault="00093413" w:rsidP="00B9752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</w:p>
    <w:p w:rsidR="00093413" w:rsidRDefault="00093413" w:rsidP="0009341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Mauss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Marcel. </w:t>
      </w:r>
      <w:r>
        <w:rPr>
          <w:rFonts w:asciiTheme="majorBidi" w:hAnsiTheme="majorBidi" w:cstheme="majorBidi"/>
          <w:i/>
          <w:iCs/>
          <w:sz w:val="24"/>
          <w:szCs w:val="24"/>
        </w:rPr>
        <w:t>A General Theory of Magic.</w:t>
      </w:r>
      <w:r>
        <w:rPr>
          <w:rFonts w:asciiTheme="majorBidi" w:hAnsiTheme="majorBidi" w:cstheme="majorBidi"/>
          <w:sz w:val="24"/>
          <w:szCs w:val="24"/>
        </w:rPr>
        <w:t xml:space="preserve"> Translated by Robert Brain. London: Routledge, 1972.</w:t>
      </w:r>
    </w:p>
    <w:p w:rsidR="00093413" w:rsidRDefault="00093413" w:rsidP="0009341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Melvin-</w:t>
      </w:r>
      <w:proofErr w:type="spellStart"/>
      <w:r>
        <w:rPr>
          <w:rFonts w:asciiTheme="majorBidi" w:hAnsiTheme="majorBidi" w:cstheme="majorBidi"/>
          <w:sz w:val="24"/>
          <w:szCs w:val="24"/>
        </w:rPr>
        <w:t>Koushki</w:t>
      </w:r>
      <w:proofErr w:type="spellEnd"/>
      <w:r>
        <w:rPr>
          <w:rFonts w:asciiTheme="majorBidi" w:hAnsiTheme="majorBidi" w:cstheme="majorBidi"/>
          <w:sz w:val="24"/>
          <w:szCs w:val="24"/>
        </w:rPr>
        <w:t>, Matthew “Magic in Islam between Religion and Science</w:t>
      </w:r>
      <w:proofErr w:type="gramStart"/>
      <w:r>
        <w:rPr>
          <w:rFonts w:asciiTheme="majorBidi" w:hAnsiTheme="majorBidi" w:cstheme="majorBidi"/>
          <w:sz w:val="24"/>
          <w:szCs w:val="24"/>
        </w:rPr>
        <w:t>,“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Magic, Ritual, and Witchcraft</w:t>
      </w:r>
      <w:r>
        <w:rPr>
          <w:rFonts w:asciiTheme="majorBidi" w:hAnsiTheme="majorBidi" w:cstheme="majorBidi"/>
          <w:sz w:val="24"/>
          <w:szCs w:val="24"/>
        </w:rPr>
        <w:t xml:space="preserve"> Vol. 14, </w:t>
      </w:r>
      <w:proofErr w:type="spellStart"/>
      <w:r>
        <w:rPr>
          <w:rFonts w:asciiTheme="majorBidi" w:hAnsiTheme="majorBidi" w:cstheme="majorBidi"/>
          <w:sz w:val="24"/>
          <w:szCs w:val="24"/>
        </w:rPr>
        <w:t>Nr</w:t>
      </w:r>
      <w:proofErr w:type="spellEnd"/>
      <w:r>
        <w:rPr>
          <w:rFonts w:asciiTheme="majorBidi" w:hAnsiTheme="majorBidi" w:cstheme="majorBidi"/>
          <w:sz w:val="24"/>
          <w:szCs w:val="24"/>
        </w:rPr>
        <w:t>. 2 (2019): 256-287.</w:t>
      </w:r>
    </w:p>
    <w:p w:rsidR="00093413" w:rsidRDefault="00093413" w:rsidP="0009341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Neusner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Jacob, Ernest S. </w:t>
      </w:r>
      <w:proofErr w:type="spellStart"/>
      <w:r>
        <w:rPr>
          <w:rFonts w:asciiTheme="majorBidi" w:hAnsiTheme="majorBidi" w:cstheme="majorBidi"/>
          <w:sz w:val="24"/>
          <w:szCs w:val="24"/>
        </w:rPr>
        <w:t>Frerichs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Paul Virgil McCracken Flesher, eds.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Religion, Science and Magic: In Concert and In Conflict. </w:t>
      </w:r>
      <w:r>
        <w:rPr>
          <w:rFonts w:asciiTheme="majorBidi" w:hAnsiTheme="majorBidi" w:cstheme="majorBidi"/>
          <w:sz w:val="24"/>
          <w:szCs w:val="24"/>
        </w:rPr>
        <w:t>New York: Oxford University Press, 1989.</w:t>
      </w:r>
    </w:p>
    <w:p w:rsidR="00093413" w:rsidRPr="00093413" w:rsidRDefault="00093413" w:rsidP="0009341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Page, Sophie. </w:t>
      </w:r>
      <w:r>
        <w:rPr>
          <w:rFonts w:asciiTheme="majorBidi" w:hAnsiTheme="majorBidi" w:cstheme="majorBidi"/>
          <w:i/>
          <w:iCs/>
          <w:sz w:val="24"/>
          <w:szCs w:val="24"/>
        </w:rPr>
        <w:t>Magic in the Cloister: Pious Motives, Illicit Interests and Occult Approaches to the Medieval Universe</w:t>
      </w:r>
      <w:r>
        <w:rPr>
          <w:rFonts w:asciiTheme="majorBidi" w:hAnsiTheme="majorBidi" w:cstheme="majorBidi"/>
          <w:sz w:val="24"/>
          <w:szCs w:val="24"/>
        </w:rPr>
        <w:t>. Pennsylvania: Pennsylvania State University Press, 2013.</w:t>
      </w:r>
    </w:p>
    <w:p w:rsidR="00BE1F1D" w:rsidRDefault="00BE1F1D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</w:pPr>
    </w:p>
    <w:p w:rsidR="00BE1F1D" w:rsidRDefault="00BE1F1D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</w:pPr>
    </w:p>
    <w:p w:rsidR="006C4F00" w:rsidRPr="006C4F00" w:rsidRDefault="006C4F00" w:rsidP="00A1522F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  <w:t xml:space="preserve">PART 3: </w:t>
      </w:r>
      <w:r w:rsidR="00EC580D"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  <w:t xml:space="preserve">RELIGIOUS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  <w:t>RIGORISM AMONG THE CHRISTIANS AND MUSLIMS</w:t>
      </w:r>
    </w:p>
    <w:p w:rsidR="001A1800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1D4153" w:rsidRDefault="001D4153" w:rsidP="00A5501F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09: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Emergence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AB7ECA">
        <w:rPr>
          <w:rFonts w:asciiTheme="majorBidi" w:hAnsiTheme="majorBidi" w:cstheme="majorBidi"/>
          <w:b/>
          <w:bCs/>
          <w:sz w:val="24"/>
          <w:szCs w:val="24"/>
          <w:lang w:val="sr-Latn-RS"/>
        </w:rPr>
        <w:t>the</w:t>
      </w:r>
      <w:proofErr w:type="spellEnd"/>
      <w:r w:rsidR="00AB7ECA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Protestant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Thought</w:t>
      </w:r>
      <w:proofErr w:type="spellEnd"/>
    </w:p>
    <w:p w:rsidR="001A1800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A5501F" w:rsidRPr="00A5501F" w:rsidRDefault="00A5501F" w:rsidP="003509B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Mandatory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A5501F" w:rsidRDefault="00A5501F" w:rsidP="001D4153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A5501F" w:rsidRDefault="00A5501F" w:rsidP="001D4153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McGrath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Alister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Gathering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Storm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,“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Accidental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Revolutionary</w:t>
      </w:r>
      <w:proofErr w:type="spellEnd"/>
      <w:r w:rsidR="00BA0D90">
        <w:rPr>
          <w:rFonts w:asciiTheme="majorBidi" w:hAnsiTheme="majorBidi" w:cstheme="majorBidi"/>
          <w:sz w:val="24"/>
          <w:szCs w:val="24"/>
          <w:lang w:val="sr-Latn-RS"/>
        </w:rPr>
        <w:t>: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Pr="00BA0D90">
        <w:rPr>
          <w:rFonts w:asciiTheme="majorBidi" w:hAnsiTheme="majorBidi" w:cstheme="majorBidi"/>
          <w:sz w:val="24"/>
          <w:szCs w:val="24"/>
          <w:lang w:val="sr-Latn-RS"/>
        </w:rPr>
        <w:t xml:space="preserve">Martin </w:t>
      </w:r>
      <w:proofErr w:type="spellStart"/>
      <w:r w:rsidRPr="00BA0D90">
        <w:rPr>
          <w:rFonts w:asciiTheme="majorBidi" w:hAnsiTheme="majorBidi" w:cstheme="majorBidi"/>
          <w:sz w:val="24"/>
          <w:szCs w:val="24"/>
          <w:lang w:val="sr-Latn-RS"/>
        </w:rPr>
        <w:t>Luther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,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“ 17-60.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Christianity’s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Dangerous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Idea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Protestant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Revolution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– 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History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from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Sixteenth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Century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to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Twenty-First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sr-Latn-RS"/>
        </w:rPr>
        <w:t>London: SPCK, 2007.</w:t>
      </w:r>
    </w:p>
    <w:p w:rsidR="00A5501F" w:rsidRDefault="00A5501F" w:rsidP="001D4153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A5501F" w:rsidRDefault="00A5501F" w:rsidP="001D4153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Further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EC580D" w:rsidRPr="00A5501F" w:rsidRDefault="00EC580D" w:rsidP="001D4153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</w:p>
    <w:p w:rsidR="001D4153" w:rsidRPr="001D4153" w:rsidRDefault="001D4153" w:rsidP="00A5501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Dixon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Scott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Protestants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History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from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Wittenberg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to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Pennsylvania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1517-1740.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Wiley-Blackwell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2010.</w:t>
      </w:r>
    </w:p>
    <w:p w:rsidR="00E048A4" w:rsidRDefault="001D4153" w:rsidP="001D4153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Weber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Max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Protestant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Ethic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Spirit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Capitalism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trans.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Talcott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Parsons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Dover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Publications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Inc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., 2003.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Pp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95-154.</w:t>
      </w:r>
    </w:p>
    <w:p w:rsidR="00A5501F" w:rsidRPr="00A5501F" w:rsidRDefault="00A5501F" w:rsidP="001D4153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Wolffe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John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ed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Protestant-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Catholic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Conflict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from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Reformation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to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Twenty-first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Century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Hampshire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Palgrave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MacMillan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2013.</w:t>
      </w:r>
    </w:p>
    <w:p w:rsidR="001A1800" w:rsidRPr="003509BE" w:rsidRDefault="001A1800" w:rsidP="001D4153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E048A4" w:rsidRDefault="003A3557" w:rsidP="00AB7ECA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10: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Protestants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Divine Grace in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Europe</w:t>
      </w:r>
      <w:proofErr w:type="spellEnd"/>
    </w:p>
    <w:p w:rsidR="001A1800" w:rsidRDefault="001A1800" w:rsidP="003509B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AB7ECA" w:rsidRPr="00AB7ECA" w:rsidRDefault="00AB7ECA" w:rsidP="003509B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Mandatory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AB7ECA" w:rsidRDefault="00AB7ECA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D71214" w:rsidRDefault="00D71214" w:rsidP="00D71214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McGrath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Alister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Believing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Belonging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Some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Distinctive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Protestant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Beliefs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,“ 243-276.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Christianity’s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Dangerous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Idea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Protestant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Revolution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– 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History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from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Sixteenth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Century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to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Twenty-First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sr-Latn-RS"/>
        </w:rPr>
        <w:t>London: SPCK, 2007.</w:t>
      </w:r>
    </w:p>
    <w:p w:rsidR="003A3557" w:rsidRPr="00D71214" w:rsidRDefault="003A3557" w:rsidP="00D71214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Thomas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Keith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r w:rsidR="00D71214">
        <w:rPr>
          <w:rFonts w:asciiTheme="majorBidi" w:hAnsiTheme="majorBidi" w:cstheme="majorBidi"/>
          <w:sz w:val="24"/>
          <w:szCs w:val="24"/>
          <w:lang w:val="sr-Latn-RS"/>
        </w:rPr>
        <w:t>“</w:t>
      </w:r>
      <w:proofErr w:type="spellStart"/>
      <w:r w:rsidR="00D71214"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 w:rsidR="00D71214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D71214">
        <w:rPr>
          <w:rFonts w:asciiTheme="majorBidi" w:hAnsiTheme="majorBidi" w:cstheme="majorBidi"/>
          <w:sz w:val="24"/>
          <w:szCs w:val="24"/>
          <w:lang w:val="sr-Latn-RS"/>
        </w:rPr>
        <w:t>Impact</w:t>
      </w:r>
      <w:proofErr w:type="spellEnd"/>
      <w:r w:rsidR="00D71214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D71214">
        <w:rPr>
          <w:rFonts w:asciiTheme="majorBidi" w:hAnsiTheme="majorBidi" w:cstheme="majorBidi"/>
          <w:sz w:val="24"/>
          <w:szCs w:val="24"/>
          <w:lang w:val="sr-Latn-RS"/>
        </w:rPr>
        <w:t>of</w:t>
      </w:r>
      <w:proofErr w:type="spellEnd"/>
      <w:r w:rsidR="00D71214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D71214"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 w:rsidR="00D71214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D71214">
        <w:rPr>
          <w:rFonts w:asciiTheme="majorBidi" w:hAnsiTheme="majorBidi" w:cstheme="majorBidi"/>
          <w:sz w:val="24"/>
          <w:szCs w:val="24"/>
          <w:lang w:val="sr-Latn-RS"/>
        </w:rPr>
        <w:t>Reformation</w:t>
      </w:r>
      <w:proofErr w:type="spellEnd"/>
      <w:r w:rsidR="00D71214">
        <w:rPr>
          <w:rFonts w:asciiTheme="majorBidi" w:hAnsiTheme="majorBidi" w:cstheme="majorBidi"/>
          <w:sz w:val="24"/>
          <w:szCs w:val="24"/>
          <w:lang w:val="sr-Latn-RS"/>
        </w:rPr>
        <w:t xml:space="preserve">,“ 59-89.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Religion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Decline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Magic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r w:rsidR="00D71214">
        <w:rPr>
          <w:rFonts w:asciiTheme="majorBidi" w:hAnsiTheme="majorBidi" w:cstheme="majorBidi"/>
          <w:sz w:val="24"/>
          <w:szCs w:val="24"/>
        </w:rPr>
        <w:t>Penguin Books, 1991.</w:t>
      </w:r>
    </w:p>
    <w:p w:rsidR="00AB7ECA" w:rsidRDefault="00AB7ECA" w:rsidP="003509B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AB7ECA" w:rsidRDefault="00AB7ECA" w:rsidP="003509B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Further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AB7ECA" w:rsidRPr="00AB7ECA" w:rsidRDefault="00AB7ECA" w:rsidP="003509B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</w:p>
    <w:p w:rsidR="00B70520" w:rsidRPr="00B70520" w:rsidRDefault="00B70520" w:rsidP="008072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Decock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Wim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Jordan J.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Ballor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Michael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Germann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Laurent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Waelkens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Law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Religion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Legal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Teachings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Protestant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Catholic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Reformations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 w:rsidRPr="00B70520">
        <w:rPr>
          <w:rFonts w:asciiTheme="majorBidi" w:hAnsiTheme="majorBidi" w:cstheme="majorBidi"/>
          <w:sz w:val="24"/>
          <w:szCs w:val="24"/>
          <w:lang w:val="sr-Latn-RS"/>
        </w:rPr>
        <w:t>Göttingen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Vandenhoeck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&amp;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Ruprecht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2014.</w:t>
      </w:r>
    </w:p>
    <w:p w:rsidR="00B70520" w:rsidRDefault="00B70520" w:rsidP="008072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Legath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Jenny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Wiley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Sanctified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Sisters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History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Protestant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Deaconesses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New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York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NYU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2019.</w:t>
      </w:r>
    </w:p>
    <w:p w:rsidR="00B70520" w:rsidRDefault="00B70520" w:rsidP="008072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lastRenderedPageBreak/>
        <w:t>Muller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Richard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A. </w:t>
      </w: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Grace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Freedom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William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Perkins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Early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Modern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Reformed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Understanding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Free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Choice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Divine Grace.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2020.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Pp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97-154.</w:t>
      </w:r>
    </w:p>
    <w:p w:rsidR="00A1522F" w:rsidRDefault="00A1522F" w:rsidP="008072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EC580D" w:rsidRDefault="00EC580D" w:rsidP="008072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1A1800" w:rsidRDefault="001A1800" w:rsidP="00EC2011">
      <w:pPr>
        <w:spacing w:after="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807256" w:rsidRDefault="00807256" w:rsidP="00FF282B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11: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Muslim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Rigorist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Thought</w:t>
      </w:r>
      <w:proofErr w:type="spellEnd"/>
    </w:p>
    <w:p w:rsidR="001A1800" w:rsidRDefault="001A1800" w:rsidP="00807256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</w:p>
    <w:p w:rsidR="009A2821" w:rsidRPr="009A2821" w:rsidRDefault="009A2821" w:rsidP="00807256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Mandatory Reading</w:t>
      </w:r>
    </w:p>
    <w:p w:rsidR="009A2821" w:rsidRDefault="009A2821" w:rsidP="0080725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A2821" w:rsidRDefault="009A2821" w:rsidP="009A2821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Terzioğlu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Derin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9A28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“Sufis in the Age of State-Building and </w:t>
      </w:r>
      <w:proofErr w:type="spellStart"/>
      <w:r>
        <w:rPr>
          <w:rFonts w:asciiTheme="majorBidi" w:hAnsiTheme="majorBidi" w:cstheme="majorBidi"/>
          <w:sz w:val="24"/>
          <w:szCs w:val="24"/>
        </w:rPr>
        <w:t>Confessionalization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,” 86-103. In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Ottoman World. </w:t>
      </w:r>
      <w:r>
        <w:rPr>
          <w:rFonts w:asciiTheme="majorBidi" w:hAnsiTheme="majorBidi" w:cstheme="majorBidi"/>
          <w:sz w:val="24"/>
          <w:szCs w:val="24"/>
        </w:rPr>
        <w:t xml:space="preserve">Edited by Christine </w:t>
      </w:r>
      <w:proofErr w:type="spellStart"/>
      <w:r>
        <w:rPr>
          <w:rFonts w:asciiTheme="majorBidi" w:hAnsiTheme="majorBidi" w:cstheme="majorBidi"/>
          <w:sz w:val="24"/>
          <w:szCs w:val="24"/>
        </w:rPr>
        <w:t>Woodhead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London&amp;New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York: Routledge, 2012</w:t>
      </w:r>
    </w:p>
    <w:p w:rsidR="00807256" w:rsidRDefault="00036A2E" w:rsidP="009A2821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Baer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Gabriel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“A </w:t>
      </w:r>
      <w:proofErr w:type="spellStart"/>
      <w:r w:rsidR="009A2821">
        <w:rPr>
          <w:rFonts w:asciiTheme="majorBidi" w:hAnsiTheme="majorBidi" w:cstheme="majorBidi"/>
          <w:sz w:val="24"/>
          <w:szCs w:val="24"/>
          <w:lang w:val="sr-Latn-RS"/>
        </w:rPr>
        <w:t>Decade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9A2821">
        <w:rPr>
          <w:rFonts w:asciiTheme="majorBidi" w:hAnsiTheme="majorBidi" w:cstheme="majorBidi"/>
          <w:sz w:val="24"/>
          <w:szCs w:val="24"/>
          <w:lang w:val="sr-Latn-RS"/>
        </w:rPr>
        <w:t>of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9A2821">
        <w:rPr>
          <w:rFonts w:asciiTheme="majorBidi" w:hAnsiTheme="majorBidi" w:cstheme="majorBidi"/>
          <w:sz w:val="24"/>
          <w:szCs w:val="24"/>
          <w:lang w:val="sr-Latn-RS"/>
        </w:rPr>
        <w:t>Crisis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,“ </w:t>
      </w:r>
      <w:proofErr w:type="spellStart"/>
      <w:r w:rsidR="009A2821"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 “</w:t>
      </w:r>
      <w:proofErr w:type="spellStart"/>
      <w:r w:rsidR="009A2821">
        <w:rPr>
          <w:rFonts w:asciiTheme="majorBidi" w:hAnsiTheme="majorBidi" w:cstheme="majorBidi"/>
          <w:sz w:val="24"/>
          <w:szCs w:val="24"/>
          <w:lang w:val="sr-Latn-RS"/>
        </w:rPr>
        <w:t>Enjoining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9A2821">
        <w:rPr>
          <w:rFonts w:asciiTheme="majorBidi" w:hAnsiTheme="majorBidi" w:cstheme="majorBidi"/>
          <w:sz w:val="24"/>
          <w:szCs w:val="24"/>
          <w:lang w:val="sr-Latn-RS"/>
        </w:rPr>
        <w:t>Good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9A2821"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9A2821">
        <w:rPr>
          <w:rFonts w:asciiTheme="majorBidi" w:hAnsiTheme="majorBidi" w:cstheme="majorBidi"/>
          <w:sz w:val="24"/>
          <w:szCs w:val="24"/>
          <w:lang w:val="sr-Latn-RS"/>
        </w:rPr>
        <w:t>Forbidding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9A2821">
        <w:rPr>
          <w:rFonts w:asciiTheme="majorBidi" w:hAnsiTheme="majorBidi" w:cstheme="majorBidi"/>
          <w:sz w:val="24"/>
          <w:szCs w:val="24"/>
          <w:lang w:val="sr-Latn-RS"/>
        </w:rPr>
        <w:t>Wrong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 xml:space="preserve">,“ 39-80.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Honored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by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Glory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Islam: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Conversion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Conquest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Ottoman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Europe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 w:rsidR="009A2821">
        <w:rPr>
          <w:rFonts w:asciiTheme="majorBidi" w:hAnsiTheme="majorBidi" w:cstheme="majorBidi"/>
          <w:sz w:val="24"/>
          <w:szCs w:val="24"/>
          <w:lang w:val="sr-Latn-RS"/>
        </w:rPr>
        <w:t>, 2008.</w:t>
      </w:r>
    </w:p>
    <w:p w:rsidR="009A2821" w:rsidRDefault="009A2821" w:rsidP="009A2821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9A2821" w:rsidRDefault="009A2821" w:rsidP="009A282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Further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9A2821" w:rsidRDefault="009A2821" w:rsidP="009A2821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</w:p>
    <w:p w:rsidR="00AD7F36" w:rsidRDefault="00AD7F36" w:rsidP="00AD7F3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Chih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Rachida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Discussing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Sufism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Early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Modern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Period: A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New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Historiographical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Outlook on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Tariqa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Muhammadiyya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,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“ 104-128.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Sufism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East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West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Mystical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Islam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Cross-Cultural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Exchange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Modern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World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Edited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Jamal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Malik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Saeed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Zarrabi-Zadeh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Leiden&amp;Boston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Brill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2019.</w:t>
      </w:r>
    </w:p>
    <w:p w:rsidR="00AD7F36" w:rsidRDefault="00AD7F36" w:rsidP="00AD7F36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Evstatiev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Simeon.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Qadizadeli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Movement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Spread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Islamic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Revivalism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Seventeenth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Eighteenth-Century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Ottoman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Empire,“ </w:t>
      </w: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CAS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Working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Papers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Series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No. 5 (2013): 3-34. </w:t>
      </w:r>
    </w:p>
    <w:p w:rsidR="00AD7F36" w:rsidRPr="00AD7F36" w:rsidRDefault="00AD7F36" w:rsidP="00D87CB2">
      <w:pPr>
        <w:spacing w:after="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036A2E" w:rsidRPr="001A1800" w:rsidRDefault="00036A2E" w:rsidP="00D87CB2">
      <w:pPr>
        <w:spacing w:after="0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Week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12: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Muslim</w:t>
      </w:r>
      <w:proofErr w:type="spellEnd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Premodern</w:t>
      </w:r>
      <w:proofErr w:type="spellEnd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Rigorism</w:t>
      </w:r>
      <w:proofErr w:type="spellEnd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,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the</w:t>
      </w:r>
      <w:proofErr w:type="spellEnd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Sufis</w:t>
      </w:r>
      <w:proofErr w:type="spellEnd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,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and</w:t>
      </w:r>
      <w:proofErr w:type="spellEnd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the</w:t>
      </w:r>
      <w:proofErr w:type="spellEnd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Advent</w:t>
      </w:r>
      <w:proofErr w:type="spellEnd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of</w:t>
      </w:r>
      <w:proofErr w:type="spellEnd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 xml:space="preserve"> </w:t>
      </w:r>
      <w:proofErr w:type="spellStart"/>
      <w:r w:rsidR="00D87CB2">
        <w:rPr>
          <w:rFonts w:asciiTheme="majorBidi" w:hAnsiTheme="majorBidi" w:cstheme="majorBidi"/>
          <w:b/>
          <w:bCs/>
          <w:sz w:val="24"/>
          <w:szCs w:val="24"/>
          <w:lang w:val="sr-Latn-RS"/>
        </w:rPr>
        <w:t>Modernity</w:t>
      </w:r>
      <w:proofErr w:type="spellEnd"/>
    </w:p>
    <w:p w:rsidR="001A1800" w:rsidRDefault="001A1800" w:rsidP="00807256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sr-Latn-RS"/>
        </w:rPr>
      </w:pPr>
    </w:p>
    <w:p w:rsidR="00ED5549" w:rsidRPr="00ED5549" w:rsidRDefault="00ED5549" w:rsidP="0071610F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Mandatory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ED5549" w:rsidRDefault="00ED5549" w:rsidP="0071610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71610F" w:rsidRDefault="0071610F" w:rsidP="0071610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Baer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Gabriel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Islamizing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Istanbul,“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Conversion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Piety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: Mehmed IV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Preacher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Vani Mehmed Efendi,“ 81-104.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Honored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by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Glory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Islam: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Conversion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Conquest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Ottoman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Europe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Oxford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2008.</w:t>
      </w:r>
    </w:p>
    <w:p w:rsidR="00036A2E" w:rsidRDefault="009A2821" w:rsidP="0045524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 w:rsidRPr="00807256">
        <w:rPr>
          <w:rFonts w:asciiTheme="majorBidi" w:hAnsiTheme="majorBidi" w:cstheme="majorBidi"/>
          <w:sz w:val="24"/>
          <w:szCs w:val="24"/>
          <w:lang w:val="sr-Latn-RS"/>
        </w:rPr>
        <w:t>Commins</w:t>
      </w:r>
      <w:proofErr w:type="spellEnd"/>
      <w:r w:rsidRPr="00807256">
        <w:rPr>
          <w:rFonts w:asciiTheme="majorBidi" w:hAnsiTheme="majorBidi" w:cstheme="majorBidi"/>
          <w:sz w:val="24"/>
          <w:szCs w:val="24"/>
          <w:lang w:val="sr-Latn-RS"/>
        </w:rPr>
        <w:t>, David</w:t>
      </w:r>
      <w:r>
        <w:rPr>
          <w:rFonts w:asciiTheme="majorBidi" w:hAnsiTheme="majorBidi" w:cstheme="majorBidi"/>
          <w:sz w:val="24"/>
          <w:szCs w:val="24"/>
          <w:lang w:val="sr-Latn-RS"/>
        </w:rPr>
        <w:t>.</w:t>
      </w:r>
      <w:r w:rsidRPr="00807256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 w:rsidR="0045524F">
        <w:rPr>
          <w:rFonts w:asciiTheme="majorBidi" w:hAnsiTheme="majorBidi" w:cstheme="majorBidi"/>
          <w:sz w:val="24"/>
          <w:szCs w:val="24"/>
          <w:lang w:val="sr-Latn-RS"/>
        </w:rPr>
        <w:t xml:space="preserve">“Islam </w:t>
      </w:r>
      <w:proofErr w:type="spellStart"/>
      <w:r w:rsidR="0045524F">
        <w:rPr>
          <w:rFonts w:asciiTheme="majorBidi" w:hAnsiTheme="majorBidi" w:cstheme="majorBidi"/>
          <w:sz w:val="24"/>
          <w:szCs w:val="24"/>
          <w:lang w:val="sr-Latn-RS"/>
        </w:rPr>
        <w:t>Began</w:t>
      </w:r>
      <w:proofErr w:type="spellEnd"/>
      <w:r w:rsidR="0045524F">
        <w:rPr>
          <w:rFonts w:asciiTheme="majorBidi" w:hAnsiTheme="majorBidi" w:cstheme="majorBidi"/>
          <w:sz w:val="24"/>
          <w:szCs w:val="24"/>
          <w:lang w:val="sr-Latn-RS"/>
        </w:rPr>
        <w:t xml:space="preserve"> as a </w:t>
      </w:r>
      <w:proofErr w:type="spellStart"/>
      <w:r w:rsidR="0045524F">
        <w:rPr>
          <w:rFonts w:asciiTheme="majorBidi" w:hAnsiTheme="majorBidi" w:cstheme="majorBidi"/>
          <w:sz w:val="24"/>
          <w:szCs w:val="24"/>
          <w:lang w:val="sr-Latn-RS"/>
        </w:rPr>
        <w:t>Stranger</w:t>
      </w:r>
      <w:proofErr w:type="spellEnd"/>
      <w:r w:rsidR="0045524F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45524F"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 w:rsidR="0045524F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45524F">
        <w:rPr>
          <w:rFonts w:asciiTheme="majorBidi" w:hAnsiTheme="majorBidi" w:cstheme="majorBidi"/>
          <w:sz w:val="24"/>
          <w:szCs w:val="24"/>
          <w:lang w:val="sr-Latn-RS"/>
        </w:rPr>
        <w:t>will</w:t>
      </w:r>
      <w:proofErr w:type="spellEnd"/>
      <w:r w:rsidR="0045524F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="0045524F">
        <w:rPr>
          <w:rFonts w:asciiTheme="majorBidi" w:hAnsiTheme="majorBidi" w:cstheme="majorBidi"/>
          <w:sz w:val="24"/>
          <w:szCs w:val="24"/>
          <w:lang w:val="sr-Latn-RS"/>
        </w:rPr>
        <w:t>Return</w:t>
      </w:r>
      <w:proofErr w:type="spellEnd"/>
      <w:r w:rsidR="0045524F">
        <w:rPr>
          <w:rFonts w:asciiTheme="majorBidi" w:hAnsiTheme="majorBidi" w:cstheme="majorBidi"/>
          <w:sz w:val="24"/>
          <w:szCs w:val="24"/>
          <w:lang w:val="sr-Latn-RS"/>
        </w:rPr>
        <w:t xml:space="preserve"> as a </w:t>
      </w:r>
      <w:proofErr w:type="spellStart"/>
      <w:r w:rsidR="0045524F">
        <w:rPr>
          <w:rFonts w:asciiTheme="majorBidi" w:hAnsiTheme="majorBidi" w:cstheme="majorBidi"/>
          <w:sz w:val="24"/>
          <w:szCs w:val="24"/>
          <w:lang w:val="sr-Latn-RS"/>
        </w:rPr>
        <w:t>Stranger</w:t>
      </w:r>
      <w:proofErr w:type="spellEnd"/>
      <w:r w:rsidR="0045524F">
        <w:rPr>
          <w:rFonts w:asciiTheme="majorBidi" w:hAnsiTheme="majorBidi" w:cstheme="majorBidi"/>
          <w:sz w:val="24"/>
          <w:szCs w:val="24"/>
          <w:lang w:val="sr-Latn-RS"/>
        </w:rPr>
        <w:t xml:space="preserve">,“ 7-40. In </w:t>
      </w:r>
      <w:proofErr w:type="spellStart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>Wahhabi</w:t>
      </w:r>
      <w:proofErr w:type="spellEnd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>Mission</w:t>
      </w:r>
      <w:proofErr w:type="spellEnd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>Saudi</w:t>
      </w:r>
      <w:proofErr w:type="spellEnd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807256">
        <w:rPr>
          <w:rFonts w:asciiTheme="majorBidi" w:hAnsiTheme="majorBidi" w:cstheme="majorBidi"/>
          <w:i/>
          <w:iCs/>
          <w:sz w:val="24"/>
          <w:szCs w:val="24"/>
          <w:lang w:val="sr-Latn-RS"/>
        </w:rPr>
        <w:t>Arabia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London: I.B.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Tauris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, 2006.</w:t>
      </w:r>
    </w:p>
    <w:p w:rsidR="00036A2E" w:rsidRDefault="00036A2E" w:rsidP="00036A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Hourani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>Albert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>“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Sufism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Modern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Islam: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Rashid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Rida</w:t>
      </w:r>
      <w:r w:rsidR="00552309">
        <w:rPr>
          <w:rFonts w:asciiTheme="majorBidi" w:hAnsiTheme="majorBidi" w:cstheme="majorBidi"/>
          <w:sz w:val="24"/>
          <w:szCs w:val="24"/>
          <w:lang w:val="sr-Latn-RS"/>
        </w:rPr>
        <w:t>,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>”</w:t>
      </w:r>
      <w:r w:rsidR="00552309">
        <w:rPr>
          <w:rFonts w:asciiTheme="majorBidi" w:hAnsiTheme="majorBidi" w:cstheme="majorBidi"/>
          <w:sz w:val="24"/>
          <w:szCs w:val="24"/>
          <w:lang w:val="sr-Latn-RS"/>
        </w:rPr>
        <w:t xml:space="preserve"> 90-102.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r-Latn-RS"/>
        </w:rPr>
        <w:t>I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n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Emergence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of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the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Modern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Middle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East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.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of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California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>, 1981.</w:t>
      </w:r>
    </w:p>
    <w:p w:rsidR="0045524F" w:rsidRDefault="0045524F" w:rsidP="00036A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45524F" w:rsidRDefault="0045524F" w:rsidP="00036A2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Further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Reading</w:t>
      </w:r>
      <w:proofErr w:type="spellEnd"/>
    </w:p>
    <w:p w:rsidR="00ED5549" w:rsidRDefault="00ED5549" w:rsidP="00036A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45524F" w:rsidRDefault="0045524F" w:rsidP="00036A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A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>l-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Azmeh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Aziz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>“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The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Discourse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of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Cultural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Authenticity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Islamist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Revivalism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and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Enlightenment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Universalism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” </w:t>
      </w:r>
      <w:r>
        <w:rPr>
          <w:rFonts w:asciiTheme="majorBidi" w:hAnsiTheme="majorBidi" w:cstheme="majorBidi"/>
          <w:sz w:val="24"/>
          <w:szCs w:val="24"/>
          <w:lang w:val="sr-Latn-RS"/>
        </w:rPr>
        <w:t>I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n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Islams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Modernities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Verso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>, 1993</w:t>
      </w:r>
      <w:r>
        <w:rPr>
          <w:rFonts w:asciiTheme="majorBidi" w:hAnsiTheme="majorBidi" w:cstheme="majorBidi"/>
          <w:sz w:val="24"/>
          <w:szCs w:val="24"/>
          <w:lang w:val="sr-Latn-RS"/>
        </w:rPr>
        <w:t>.</w:t>
      </w:r>
    </w:p>
    <w:p w:rsidR="00ED5549" w:rsidRDefault="00ED5549" w:rsidP="00ED5549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lastRenderedPageBreak/>
        <w:t>Commins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 xml:space="preserve">, 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David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Dean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</w:t>
      </w:r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Islamic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Reform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: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Politics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and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Social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Change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in Late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Ottoman</w:t>
      </w:r>
      <w:proofErr w:type="spellEnd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>Syria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.</w:t>
      </w:r>
      <w:r w:rsidRPr="00036A2E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Oxford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University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  <w:proofErr w:type="spellStart"/>
      <w:r w:rsidRPr="00036A2E">
        <w:rPr>
          <w:rFonts w:asciiTheme="majorBidi" w:hAnsiTheme="majorBidi" w:cstheme="majorBidi"/>
          <w:sz w:val="24"/>
          <w:szCs w:val="24"/>
          <w:lang w:val="sr-Latn-RS"/>
        </w:rPr>
        <w:t>Press</w:t>
      </w:r>
      <w:proofErr w:type="spellEnd"/>
      <w:r w:rsidRPr="00036A2E">
        <w:rPr>
          <w:rFonts w:asciiTheme="majorBidi" w:hAnsiTheme="majorBidi" w:cstheme="majorBidi"/>
          <w:sz w:val="24"/>
          <w:szCs w:val="24"/>
          <w:lang w:val="sr-Latn-RS"/>
        </w:rPr>
        <w:t>, 1990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sr-Latn-RS"/>
        </w:rPr>
        <w:t>Pp</w:t>
      </w:r>
      <w:proofErr w:type="spellEnd"/>
      <w:r>
        <w:rPr>
          <w:rFonts w:asciiTheme="majorBidi" w:hAnsiTheme="majorBidi" w:cstheme="majorBidi"/>
          <w:sz w:val="24"/>
          <w:szCs w:val="24"/>
          <w:lang w:val="sr-Latn-RS"/>
        </w:rPr>
        <w:t>. 104-123.</w:t>
      </w:r>
    </w:p>
    <w:p w:rsidR="00ED5549" w:rsidRDefault="00ED5549" w:rsidP="00036A2E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45524F" w:rsidRPr="0045524F" w:rsidRDefault="0045524F" w:rsidP="00036A2E">
      <w:pPr>
        <w:spacing w:after="0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</w:p>
    <w:sectPr w:rsidR="0045524F" w:rsidRPr="0045524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7C" w:rsidRDefault="0092287C" w:rsidP="00BC370B">
      <w:pPr>
        <w:spacing w:after="0" w:line="240" w:lineRule="auto"/>
      </w:pPr>
      <w:r>
        <w:separator/>
      </w:r>
    </w:p>
  </w:endnote>
  <w:endnote w:type="continuationSeparator" w:id="0">
    <w:p w:rsidR="0092287C" w:rsidRDefault="0092287C" w:rsidP="00BC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2071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16"/>
        <w:szCs w:val="16"/>
      </w:rPr>
    </w:sdtEndPr>
    <w:sdtContent>
      <w:p w:rsidR="00BE1F1D" w:rsidRPr="00BE1F1D" w:rsidRDefault="00BE1F1D">
        <w:pPr>
          <w:pStyle w:val="Footer"/>
          <w:jc w:val="center"/>
          <w:rPr>
            <w:rFonts w:asciiTheme="majorBidi" w:hAnsiTheme="majorBidi" w:cstheme="majorBidi"/>
            <w:sz w:val="16"/>
            <w:szCs w:val="16"/>
          </w:rPr>
        </w:pPr>
        <w:r w:rsidRPr="00BE1F1D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BE1F1D">
          <w:rPr>
            <w:rFonts w:asciiTheme="majorBidi" w:hAnsiTheme="majorBidi" w:cstheme="majorBidi"/>
            <w:sz w:val="16"/>
            <w:szCs w:val="16"/>
          </w:rPr>
          <w:instrText xml:space="preserve"> PAGE   \* MERGEFORMAT </w:instrText>
        </w:r>
        <w:r w:rsidRPr="00BE1F1D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="00156D78">
          <w:rPr>
            <w:rFonts w:asciiTheme="majorBidi" w:hAnsiTheme="majorBidi" w:cstheme="majorBidi"/>
            <w:noProof/>
            <w:sz w:val="16"/>
            <w:szCs w:val="16"/>
          </w:rPr>
          <w:t>8</w:t>
        </w:r>
        <w:r w:rsidRPr="00BE1F1D">
          <w:rPr>
            <w:rFonts w:asciiTheme="majorBidi" w:hAnsiTheme="majorBidi" w:cstheme="majorBidi"/>
            <w:noProof/>
            <w:sz w:val="16"/>
            <w:szCs w:val="16"/>
          </w:rPr>
          <w:fldChar w:fldCharType="end"/>
        </w:r>
      </w:p>
    </w:sdtContent>
  </w:sdt>
  <w:p w:rsidR="0045524F" w:rsidRDefault="0045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7C" w:rsidRDefault="0092287C" w:rsidP="00BC370B">
      <w:pPr>
        <w:spacing w:after="0" w:line="240" w:lineRule="auto"/>
      </w:pPr>
      <w:r>
        <w:separator/>
      </w:r>
    </w:p>
  </w:footnote>
  <w:footnote w:type="continuationSeparator" w:id="0">
    <w:p w:rsidR="0092287C" w:rsidRDefault="0092287C" w:rsidP="00BC3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6C2"/>
    <w:multiLevelType w:val="hybridMultilevel"/>
    <w:tmpl w:val="77A802E4"/>
    <w:lvl w:ilvl="0" w:tplc="FD0C5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10"/>
    <w:rsid w:val="0000568F"/>
    <w:rsid w:val="00036A2E"/>
    <w:rsid w:val="00045A3A"/>
    <w:rsid w:val="00060B22"/>
    <w:rsid w:val="00061E61"/>
    <w:rsid w:val="00063026"/>
    <w:rsid w:val="00073A69"/>
    <w:rsid w:val="00092E96"/>
    <w:rsid w:val="00093413"/>
    <w:rsid w:val="000D4085"/>
    <w:rsid w:val="00102FED"/>
    <w:rsid w:val="00115050"/>
    <w:rsid w:val="00143580"/>
    <w:rsid w:val="00156D78"/>
    <w:rsid w:val="001576FD"/>
    <w:rsid w:val="00173A99"/>
    <w:rsid w:val="00185D3A"/>
    <w:rsid w:val="001A1800"/>
    <w:rsid w:val="001A3D21"/>
    <w:rsid w:val="001D4153"/>
    <w:rsid w:val="001D6BDB"/>
    <w:rsid w:val="001F149E"/>
    <w:rsid w:val="0021252D"/>
    <w:rsid w:val="00241B56"/>
    <w:rsid w:val="00266269"/>
    <w:rsid w:val="00285358"/>
    <w:rsid w:val="0029600C"/>
    <w:rsid w:val="002D354F"/>
    <w:rsid w:val="00322A56"/>
    <w:rsid w:val="003323EB"/>
    <w:rsid w:val="00335654"/>
    <w:rsid w:val="0034608C"/>
    <w:rsid w:val="003509BE"/>
    <w:rsid w:val="003A3557"/>
    <w:rsid w:val="003A78F5"/>
    <w:rsid w:val="003C658A"/>
    <w:rsid w:val="003F7FC9"/>
    <w:rsid w:val="00402BED"/>
    <w:rsid w:val="00437874"/>
    <w:rsid w:val="00445691"/>
    <w:rsid w:val="0045524F"/>
    <w:rsid w:val="00486C82"/>
    <w:rsid w:val="00493228"/>
    <w:rsid w:val="004A68B8"/>
    <w:rsid w:val="004B730B"/>
    <w:rsid w:val="004E42EB"/>
    <w:rsid w:val="00524878"/>
    <w:rsid w:val="00533464"/>
    <w:rsid w:val="00535D10"/>
    <w:rsid w:val="00536D71"/>
    <w:rsid w:val="00545317"/>
    <w:rsid w:val="00552309"/>
    <w:rsid w:val="00555103"/>
    <w:rsid w:val="00556D56"/>
    <w:rsid w:val="00581441"/>
    <w:rsid w:val="0059454A"/>
    <w:rsid w:val="00596D3F"/>
    <w:rsid w:val="005B6E09"/>
    <w:rsid w:val="005C3610"/>
    <w:rsid w:val="005D1F3B"/>
    <w:rsid w:val="005E4B3C"/>
    <w:rsid w:val="005F1F39"/>
    <w:rsid w:val="005F36CB"/>
    <w:rsid w:val="00603DA7"/>
    <w:rsid w:val="006C4F00"/>
    <w:rsid w:val="006C6B82"/>
    <w:rsid w:val="006C6EAE"/>
    <w:rsid w:val="006F2CC7"/>
    <w:rsid w:val="007040B7"/>
    <w:rsid w:val="0071610F"/>
    <w:rsid w:val="00742A50"/>
    <w:rsid w:val="00753806"/>
    <w:rsid w:val="00767D3F"/>
    <w:rsid w:val="0078146B"/>
    <w:rsid w:val="007A22F5"/>
    <w:rsid w:val="007D7A58"/>
    <w:rsid w:val="007F578D"/>
    <w:rsid w:val="00807256"/>
    <w:rsid w:val="00815362"/>
    <w:rsid w:val="0083417A"/>
    <w:rsid w:val="00844659"/>
    <w:rsid w:val="00861AD1"/>
    <w:rsid w:val="00882200"/>
    <w:rsid w:val="008A3C72"/>
    <w:rsid w:val="008C2FB4"/>
    <w:rsid w:val="00913C85"/>
    <w:rsid w:val="0092287C"/>
    <w:rsid w:val="00924894"/>
    <w:rsid w:val="00981180"/>
    <w:rsid w:val="00997DF3"/>
    <w:rsid w:val="009A2821"/>
    <w:rsid w:val="009A437F"/>
    <w:rsid w:val="009B0C2F"/>
    <w:rsid w:val="009B44D4"/>
    <w:rsid w:val="009F69AB"/>
    <w:rsid w:val="00A04956"/>
    <w:rsid w:val="00A11804"/>
    <w:rsid w:val="00A1522F"/>
    <w:rsid w:val="00A17014"/>
    <w:rsid w:val="00A2755E"/>
    <w:rsid w:val="00A27FE8"/>
    <w:rsid w:val="00A50180"/>
    <w:rsid w:val="00A54923"/>
    <w:rsid w:val="00A5501F"/>
    <w:rsid w:val="00A77916"/>
    <w:rsid w:val="00AA67DF"/>
    <w:rsid w:val="00AB4F7E"/>
    <w:rsid w:val="00AB7ECA"/>
    <w:rsid w:val="00AD7F36"/>
    <w:rsid w:val="00AF7676"/>
    <w:rsid w:val="00B046D0"/>
    <w:rsid w:val="00B127BF"/>
    <w:rsid w:val="00B70520"/>
    <w:rsid w:val="00B9105A"/>
    <w:rsid w:val="00B915FF"/>
    <w:rsid w:val="00B973C2"/>
    <w:rsid w:val="00B9752E"/>
    <w:rsid w:val="00BA0D90"/>
    <w:rsid w:val="00BA20C3"/>
    <w:rsid w:val="00BC246C"/>
    <w:rsid w:val="00BC370B"/>
    <w:rsid w:val="00BD4217"/>
    <w:rsid w:val="00BE1F1D"/>
    <w:rsid w:val="00BE4010"/>
    <w:rsid w:val="00BE52FB"/>
    <w:rsid w:val="00C422E0"/>
    <w:rsid w:val="00C76CBD"/>
    <w:rsid w:val="00C81328"/>
    <w:rsid w:val="00C84E3F"/>
    <w:rsid w:val="00C90248"/>
    <w:rsid w:val="00CD323B"/>
    <w:rsid w:val="00CE010C"/>
    <w:rsid w:val="00D130C0"/>
    <w:rsid w:val="00D267FB"/>
    <w:rsid w:val="00D40DFC"/>
    <w:rsid w:val="00D666A1"/>
    <w:rsid w:val="00D71214"/>
    <w:rsid w:val="00D80AE9"/>
    <w:rsid w:val="00D855DA"/>
    <w:rsid w:val="00D87CB2"/>
    <w:rsid w:val="00DB085A"/>
    <w:rsid w:val="00DB67B8"/>
    <w:rsid w:val="00DF736A"/>
    <w:rsid w:val="00E048A4"/>
    <w:rsid w:val="00E77BE3"/>
    <w:rsid w:val="00E8204B"/>
    <w:rsid w:val="00E871AB"/>
    <w:rsid w:val="00EA6295"/>
    <w:rsid w:val="00EC2011"/>
    <w:rsid w:val="00EC580D"/>
    <w:rsid w:val="00ED5549"/>
    <w:rsid w:val="00EE5617"/>
    <w:rsid w:val="00F46464"/>
    <w:rsid w:val="00F61897"/>
    <w:rsid w:val="00F94A79"/>
    <w:rsid w:val="00FA01F6"/>
    <w:rsid w:val="00FB399D"/>
    <w:rsid w:val="00FC4E5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4F9E"/>
  <w15:chartTrackingRefBased/>
  <w15:docId w15:val="{50FEB9E7-8656-4976-99F5-23C909CF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Frontmatter Title"/>
    <w:basedOn w:val="Normal"/>
    <w:next w:val="Normal"/>
    <w:link w:val="SubtitleChar"/>
    <w:uiPriority w:val="11"/>
    <w:qFormat/>
    <w:rsid w:val="007F578D"/>
    <w:pPr>
      <w:numPr>
        <w:ilvl w:val="1"/>
      </w:numPr>
    </w:pPr>
    <w:rPr>
      <w:rFonts w:ascii="Times New Roman" w:eastAsiaTheme="minorEastAsia" w:hAnsi="Times New Roman"/>
      <w:spacing w:val="15"/>
      <w:sz w:val="24"/>
    </w:rPr>
  </w:style>
  <w:style w:type="character" w:customStyle="1" w:styleId="SubtitleChar">
    <w:name w:val="Subtitle Char"/>
    <w:aliases w:val="Frontmatter Title Char"/>
    <w:basedOn w:val="DefaultParagraphFont"/>
    <w:link w:val="Subtitle"/>
    <w:uiPriority w:val="11"/>
    <w:rsid w:val="007F578D"/>
    <w:rPr>
      <w:rFonts w:ascii="Times New Roman" w:eastAsiaTheme="minorEastAsia" w:hAnsi="Times New Roman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807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0B"/>
  </w:style>
  <w:style w:type="paragraph" w:styleId="Footer">
    <w:name w:val="footer"/>
    <w:basedOn w:val="Normal"/>
    <w:link w:val="FooterChar"/>
    <w:uiPriority w:val="99"/>
    <w:unhideWhenUsed/>
    <w:rsid w:val="00BC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0B"/>
  </w:style>
  <w:style w:type="character" w:styleId="Hyperlink">
    <w:name w:val="Hyperlink"/>
    <w:uiPriority w:val="99"/>
    <w:unhideWhenUsed/>
    <w:rsid w:val="009A2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 inc.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ThePanicSick</dc:creator>
  <cp:keywords/>
  <dc:description/>
  <cp:lastModifiedBy>MrPantic</cp:lastModifiedBy>
  <cp:revision>4</cp:revision>
  <cp:lastPrinted>2021-05-09T21:03:00Z</cp:lastPrinted>
  <dcterms:created xsi:type="dcterms:W3CDTF">2021-12-19T15:10:00Z</dcterms:created>
  <dcterms:modified xsi:type="dcterms:W3CDTF">2021-12-20T13:27:00Z</dcterms:modified>
</cp:coreProperties>
</file>