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F8A3" w14:textId="506F1555" w:rsidR="008667F2" w:rsidRPr="008872D0" w:rsidRDefault="00164513" w:rsidP="008667F2">
      <w:pPr>
        <w:widowControl w:val="0"/>
        <w:autoSpaceDE w:val="0"/>
        <w:autoSpaceDN w:val="0"/>
        <w:adjustRightInd w:val="0"/>
        <w:spacing w:before="46" w:after="0" w:line="240" w:lineRule="auto"/>
        <w:jc w:val="both"/>
        <w:rPr>
          <w:rFonts w:ascii="Garamond" w:hAnsi="Garamond" w:cs="Cambria"/>
          <w:b/>
          <w:bCs/>
          <w:color w:val="000000"/>
          <w:sz w:val="28"/>
        </w:rPr>
      </w:pPr>
      <w:r w:rsidRPr="008872D0">
        <w:rPr>
          <w:rFonts w:ascii="Garamond" w:hAnsi="Garamond"/>
          <w:noProof/>
        </w:rPr>
        <w:drawing>
          <wp:anchor distT="0" distB="0" distL="114300" distR="114300" simplePos="0" relativeHeight="251657728" behindDoc="0" locked="0" layoutInCell="1" allowOverlap="1" wp14:anchorId="41FF4FF2" wp14:editId="33BD5724">
            <wp:simplePos x="0" y="0"/>
            <wp:positionH relativeFrom="column">
              <wp:posOffset>4872990</wp:posOffset>
            </wp:positionH>
            <wp:positionV relativeFrom="paragraph">
              <wp:posOffset>-914400</wp:posOffset>
            </wp:positionV>
            <wp:extent cx="2219325" cy="154876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548765"/>
                    </a:xfrm>
                    <a:prstGeom prst="rect">
                      <a:avLst/>
                    </a:prstGeom>
                    <a:noFill/>
                  </pic:spPr>
                </pic:pic>
              </a:graphicData>
            </a:graphic>
            <wp14:sizeRelH relativeFrom="page">
              <wp14:pctWidth>0</wp14:pctWidth>
            </wp14:sizeRelH>
            <wp14:sizeRelV relativeFrom="page">
              <wp14:pctHeight>0</wp14:pctHeight>
            </wp14:sizeRelV>
          </wp:anchor>
        </w:drawing>
      </w:r>
      <w:r w:rsidR="00711D82" w:rsidRPr="008872D0">
        <w:rPr>
          <w:rFonts w:ascii="Garamond" w:hAnsi="Garamond" w:cs="Cambria"/>
          <w:b/>
          <w:bCs/>
          <w:color w:val="000000"/>
          <w:sz w:val="28"/>
        </w:rPr>
        <w:t>Enforcement of EU Values</w:t>
      </w:r>
    </w:p>
    <w:p w14:paraId="2C507FFE" w14:textId="1F505559" w:rsidR="008667F2" w:rsidRPr="008872D0" w:rsidRDefault="00DC5D16" w:rsidP="008667F2">
      <w:pPr>
        <w:widowControl w:val="0"/>
        <w:autoSpaceDE w:val="0"/>
        <w:autoSpaceDN w:val="0"/>
        <w:adjustRightInd w:val="0"/>
        <w:spacing w:before="46" w:after="0" w:line="240" w:lineRule="auto"/>
        <w:jc w:val="both"/>
        <w:rPr>
          <w:rFonts w:ascii="Garamond" w:hAnsi="Garamond" w:cs="Cambria"/>
          <w:color w:val="000000"/>
          <w:sz w:val="28"/>
        </w:rPr>
      </w:pPr>
      <w:r w:rsidRPr="008872D0">
        <w:rPr>
          <w:rFonts w:ascii="Garamond" w:hAnsi="Garamond" w:cs="Cambria"/>
          <w:color w:val="000000"/>
          <w:sz w:val="28"/>
        </w:rPr>
        <w:t xml:space="preserve">Professor </w:t>
      </w:r>
      <w:r w:rsidR="005C0BA0" w:rsidRPr="008872D0">
        <w:rPr>
          <w:rFonts w:ascii="Garamond" w:hAnsi="Garamond" w:cs="Cambria"/>
          <w:color w:val="000000"/>
          <w:sz w:val="28"/>
        </w:rPr>
        <w:t>D</w:t>
      </w:r>
      <w:r w:rsidR="009827F7" w:rsidRPr="008872D0">
        <w:rPr>
          <w:rFonts w:ascii="Garamond" w:hAnsi="Garamond" w:cs="Cambria"/>
          <w:color w:val="000000"/>
          <w:sz w:val="28"/>
        </w:rPr>
        <w:t>imitry</w:t>
      </w:r>
      <w:r w:rsidR="005C0BA0" w:rsidRPr="008872D0">
        <w:rPr>
          <w:rFonts w:ascii="Garamond" w:hAnsi="Garamond" w:cs="Cambria"/>
          <w:color w:val="000000"/>
          <w:sz w:val="28"/>
        </w:rPr>
        <w:t xml:space="preserve"> Kochenov (LEGS ‘02)</w:t>
      </w:r>
    </w:p>
    <w:p w14:paraId="2FC3EC22" w14:textId="6E6E7C9C" w:rsidR="00B547B4" w:rsidRPr="008872D0" w:rsidRDefault="005C0BA0" w:rsidP="008667F2">
      <w:pPr>
        <w:widowControl w:val="0"/>
        <w:autoSpaceDE w:val="0"/>
        <w:autoSpaceDN w:val="0"/>
        <w:adjustRightInd w:val="0"/>
        <w:spacing w:before="38" w:after="0" w:line="240" w:lineRule="auto"/>
        <w:jc w:val="both"/>
        <w:rPr>
          <w:rFonts w:ascii="Garamond" w:hAnsi="Garamond" w:cs="Cambria"/>
          <w:color w:val="000000"/>
        </w:rPr>
      </w:pPr>
      <w:r w:rsidRPr="008872D0">
        <w:rPr>
          <w:rFonts w:ascii="Garamond" w:hAnsi="Garamond" w:cs="Cambria"/>
          <w:color w:val="000000"/>
        </w:rPr>
        <w:t>Fall term</w:t>
      </w:r>
      <w:r w:rsidR="00B547B4" w:rsidRPr="008872D0">
        <w:rPr>
          <w:rFonts w:ascii="Garamond" w:hAnsi="Garamond" w:cs="Cambria"/>
          <w:color w:val="000000"/>
        </w:rPr>
        <w:t xml:space="preserve"> AY 20</w:t>
      </w:r>
      <w:r w:rsidR="00E23DCB" w:rsidRPr="008872D0">
        <w:rPr>
          <w:rFonts w:ascii="Garamond" w:hAnsi="Garamond" w:cs="Cambria"/>
          <w:color w:val="000000"/>
        </w:rPr>
        <w:t>2</w:t>
      </w:r>
      <w:r w:rsidR="00615D39" w:rsidRPr="008872D0">
        <w:rPr>
          <w:rFonts w:ascii="Garamond" w:hAnsi="Garamond" w:cs="Cambria"/>
          <w:color w:val="000000"/>
        </w:rPr>
        <w:t>1</w:t>
      </w:r>
      <w:r w:rsidR="00B547B4" w:rsidRPr="008872D0">
        <w:rPr>
          <w:rFonts w:ascii="Garamond" w:hAnsi="Garamond" w:cs="Cambria"/>
          <w:color w:val="000000"/>
        </w:rPr>
        <w:t>-20</w:t>
      </w:r>
      <w:r w:rsidR="00E23DCB" w:rsidRPr="008872D0">
        <w:rPr>
          <w:rFonts w:ascii="Garamond" w:hAnsi="Garamond" w:cs="Cambria"/>
          <w:color w:val="000000"/>
        </w:rPr>
        <w:t>2</w:t>
      </w:r>
      <w:r w:rsidR="00615D39" w:rsidRPr="008872D0">
        <w:rPr>
          <w:rFonts w:ascii="Garamond" w:hAnsi="Garamond" w:cs="Cambria"/>
          <w:color w:val="000000"/>
        </w:rPr>
        <w:t>2</w:t>
      </w:r>
    </w:p>
    <w:p w14:paraId="559FB773" w14:textId="77777777" w:rsidR="008667F2" w:rsidRPr="008872D0" w:rsidRDefault="00063913" w:rsidP="008667F2">
      <w:pPr>
        <w:widowControl w:val="0"/>
        <w:autoSpaceDE w:val="0"/>
        <w:autoSpaceDN w:val="0"/>
        <w:adjustRightInd w:val="0"/>
        <w:spacing w:before="38" w:after="0" w:line="240" w:lineRule="auto"/>
        <w:jc w:val="both"/>
        <w:rPr>
          <w:rFonts w:ascii="Garamond" w:hAnsi="Garamond" w:cs="Cambria"/>
          <w:color w:val="000000"/>
        </w:rPr>
      </w:pPr>
      <w:r w:rsidRPr="008872D0">
        <w:rPr>
          <w:rFonts w:ascii="Garamond" w:hAnsi="Garamond" w:cs="Cambria"/>
          <w:color w:val="000000"/>
        </w:rPr>
        <w:t>Master</w:t>
      </w:r>
      <w:r w:rsidRPr="008872D0">
        <w:rPr>
          <w:rFonts w:ascii="Garamond" w:hAnsi="Garamond" w:cs="Cambria"/>
          <w:color w:val="000000"/>
          <w:lang w:val="hu-HU"/>
        </w:rPr>
        <w:t>’s</w:t>
      </w:r>
      <w:r w:rsidR="00DC5D16" w:rsidRPr="008872D0">
        <w:rPr>
          <w:rFonts w:ascii="Garamond" w:hAnsi="Garamond" w:cs="Cambria"/>
          <w:color w:val="000000"/>
        </w:rPr>
        <w:t xml:space="preserve"> level course</w:t>
      </w:r>
    </w:p>
    <w:p w14:paraId="627AF7AF" w14:textId="4AEFCC38" w:rsidR="00EF66F4" w:rsidRPr="008872D0" w:rsidRDefault="00E23DCB" w:rsidP="1F3907AB">
      <w:pPr>
        <w:widowControl w:val="0"/>
        <w:autoSpaceDE w:val="0"/>
        <w:autoSpaceDN w:val="0"/>
        <w:adjustRightInd w:val="0"/>
        <w:spacing w:before="38" w:after="0" w:line="240" w:lineRule="auto"/>
        <w:jc w:val="both"/>
        <w:rPr>
          <w:rFonts w:ascii="Garamond" w:hAnsi="Garamond" w:cs="Cambria"/>
          <w:color w:val="000000"/>
        </w:rPr>
      </w:pPr>
      <w:r w:rsidRPr="008872D0">
        <w:rPr>
          <w:rFonts w:ascii="Garamond" w:hAnsi="Garamond" w:cs="Cambria"/>
          <w:color w:val="000000"/>
        </w:rPr>
        <w:t xml:space="preserve">Mandatory/Mandatory-Elective/ </w:t>
      </w:r>
      <w:r w:rsidR="1F3907AB" w:rsidRPr="008872D0">
        <w:rPr>
          <w:rFonts w:ascii="Garamond" w:hAnsi="Garamond" w:cs="Cambria"/>
          <w:color w:val="000000"/>
        </w:rPr>
        <w:t xml:space="preserve">Elective course for </w:t>
      </w:r>
      <w:r w:rsidRPr="008872D0">
        <w:rPr>
          <w:rFonts w:ascii="Garamond" w:hAnsi="Garamond" w:cs="Cambria"/>
          <w:color w:val="000000"/>
        </w:rPr>
        <w:t xml:space="preserve">CCL LL.M, HR LL.M, HR MA, </w:t>
      </w:r>
      <w:proofErr w:type="gramStart"/>
      <w:r w:rsidRPr="008872D0">
        <w:rPr>
          <w:rFonts w:ascii="Garamond" w:hAnsi="Garamond" w:cs="Cambria"/>
          <w:color w:val="000000"/>
        </w:rPr>
        <w:t>IBL</w:t>
      </w:r>
      <w:proofErr w:type="gramEnd"/>
      <w:r w:rsidRPr="008872D0">
        <w:rPr>
          <w:rFonts w:ascii="Garamond" w:hAnsi="Garamond" w:cs="Cambria"/>
          <w:color w:val="000000"/>
        </w:rPr>
        <w:t xml:space="preserve"> LL.M</w:t>
      </w:r>
    </w:p>
    <w:p w14:paraId="06EE8FA6" w14:textId="3E78D570" w:rsidR="005C0BA0" w:rsidRPr="008872D0" w:rsidRDefault="00711D82" w:rsidP="00711D82">
      <w:pPr>
        <w:widowControl w:val="0"/>
        <w:autoSpaceDE w:val="0"/>
        <w:autoSpaceDN w:val="0"/>
        <w:adjustRightInd w:val="0"/>
        <w:spacing w:before="38" w:after="0" w:line="240" w:lineRule="auto"/>
        <w:jc w:val="both"/>
        <w:rPr>
          <w:rFonts w:ascii="Garamond" w:hAnsi="Garamond" w:cs="Cambria"/>
          <w:color w:val="000000"/>
        </w:rPr>
      </w:pPr>
      <w:r w:rsidRPr="008872D0">
        <w:rPr>
          <w:rFonts w:ascii="Garamond" w:hAnsi="Garamond" w:cs="Cambria"/>
          <w:color w:val="000000"/>
        </w:rPr>
        <w:t>1</w:t>
      </w:r>
      <w:r w:rsidR="00063913" w:rsidRPr="008872D0">
        <w:rPr>
          <w:rFonts w:ascii="Garamond" w:hAnsi="Garamond" w:cs="Cambria"/>
          <w:color w:val="000000"/>
        </w:rPr>
        <w:t xml:space="preserve"> US</w:t>
      </w:r>
      <w:r w:rsidR="00DC5D16" w:rsidRPr="008872D0">
        <w:rPr>
          <w:rFonts w:ascii="Garamond" w:hAnsi="Garamond" w:cs="Cambria"/>
          <w:color w:val="000000"/>
        </w:rPr>
        <w:t xml:space="preserve"> </w:t>
      </w:r>
      <w:r w:rsidR="00063913" w:rsidRPr="008872D0">
        <w:rPr>
          <w:rFonts w:ascii="Garamond" w:hAnsi="Garamond" w:cs="Cambria"/>
          <w:color w:val="000000"/>
        </w:rPr>
        <w:t>c</w:t>
      </w:r>
      <w:r w:rsidR="00DC5D16" w:rsidRPr="008872D0">
        <w:rPr>
          <w:rFonts w:ascii="Garamond" w:hAnsi="Garamond" w:cs="Cambria"/>
          <w:color w:val="000000"/>
        </w:rPr>
        <w:t xml:space="preserve">redit </w:t>
      </w:r>
      <w:r w:rsidR="00063913" w:rsidRPr="008872D0">
        <w:rPr>
          <w:rFonts w:ascii="Garamond" w:hAnsi="Garamond" w:cs="Cambria"/>
          <w:color w:val="000000"/>
        </w:rPr>
        <w:t xml:space="preserve">/ </w:t>
      </w:r>
      <w:r w:rsidRPr="008872D0">
        <w:rPr>
          <w:rFonts w:ascii="Garamond" w:hAnsi="Garamond" w:cs="Cambria"/>
          <w:color w:val="000000"/>
        </w:rPr>
        <w:t>2</w:t>
      </w:r>
      <w:r w:rsidR="00DC5D16" w:rsidRPr="008872D0">
        <w:rPr>
          <w:rFonts w:ascii="Garamond" w:hAnsi="Garamond" w:cs="Cambria"/>
          <w:color w:val="000000"/>
        </w:rPr>
        <w:t xml:space="preserve"> ECTS </w:t>
      </w:r>
      <w:r w:rsidR="00063913" w:rsidRPr="008872D0">
        <w:rPr>
          <w:rFonts w:ascii="Garamond" w:hAnsi="Garamond" w:cs="Cambria"/>
          <w:color w:val="000000"/>
        </w:rPr>
        <w:t>c</w:t>
      </w:r>
      <w:r w:rsidR="00DC5D16" w:rsidRPr="008872D0">
        <w:rPr>
          <w:rFonts w:ascii="Garamond" w:hAnsi="Garamond" w:cs="Cambria"/>
          <w:color w:val="000000"/>
        </w:rPr>
        <w:t>redits</w:t>
      </w:r>
      <w:r w:rsidR="00E23DCB" w:rsidRPr="008872D0">
        <w:rPr>
          <w:rFonts w:ascii="Garamond" w:hAnsi="Garamond" w:cs="Cambria"/>
          <w:color w:val="000000"/>
        </w:rPr>
        <w:t xml:space="preserve"> </w:t>
      </w:r>
    </w:p>
    <w:p w14:paraId="08F382EC" w14:textId="149F4EB4" w:rsidR="008667F2" w:rsidRPr="008872D0" w:rsidRDefault="00DC5D16" w:rsidP="00063913">
      <w:pPr>
        <w:widowControl w:val="0"/>
        <w:autoSpaceDE w:val="0"/>
        <w:autoSpaceDN w:val="0"/>
        <w:adjustRightInd w:val="0"/>
        <w:spacing w:before="36" w:after="0" w:line="240" w:lineRule="auto"/>
        <w:jc w:val="both"/>
        <w:rPr>
          <w:rFonts w:ascii="Garamond" w:hAnsi="Garamond" w:cs="Cambria"/>
          <w:color w:val="000000"/>
        </w:rPr>
      </w:pPr>
      <w:r w:rsidRPr="008872D0">
        <w:rPr>
          <w:rFonts w:ascii="Garamond" w:hAnsi="Garamond" w:cs="Cambria"/>
          <w:b/>
          <w:bCs/>
          <w:color w:val="000000"/>
        </w:rPr>
        <w:t>Pre-requisites:</w:t>
      </w:r>
      <w:r w:rsidRPr="008872D0">
        <w:rPr>
          <w:rFonts w:ascii="Garamond" w:hAnsi="Garamond" w:cs="Cambria"/>
          <w:color w:val="000000"/>
        </w:rPr>
        <w:t xml:space="preserve"> </w:t>
      </w:r>
      <w:r w:rsidR="005C0BA0" w:rsidRPr="008872D0">
        <w:rPr>
          <w:rFonts w:ascii="Garamond" w:hAnsi="Garamond" w:cs="Cambria"/>
          <w:color w:val="000000"/>
        </w:rPr>
        <w:t>Master’s enrollment</w:t>
      </w:r>
    </w:p>
    <w:p w14:paraId="16B842DB" w14:textId="487FD56A" w:rsidR="008667F2" w:rsidRPr="008872D0" w:rsidRDefault="00DC5D16" w:rsidP="008667F2">
      <w:pPr>
        <w:widowControl w:val="0"/>
        <w:autoSpaceDE w:val="0"/>
        <w:autoSpaceDN w:val="0"/>
        <w:adjustRightInd w:val="0"/>
        <w:spacing w:before="43" w:after="0" w:line="240" w:lineRule="auto"/>
        <w:jc w:val="both"/>
        <w:rPr>
          <w:rFonts w:ascii="Garamond" w:hAnsi="Garamond" w:cs="Cambria"/>
          <w:color w:val="000000"/>
        </w:rPr>
      </w:pPr>
      <w:r w:rsidRPr="008872D0">
        <w:rPr>
          <w:rFonts w:ascii="Garamond" w:hAnsi="Garamond" w:cs="Cambria"/>
          <w:b/>
          <w:bCs/>
          <w:color w:val="000000"/>
        </w:rPr>
        <w:t>Office hours</w:t>
      </w:r>
      <w:r w:rsidRPr="008872D0">
        <w:rPr>
          <w:rFonts w:ascii="Garamond" w:hAnsi="Garamond" w:cs="Cambria"/>
          <w:color w:val="000000"/>
        </w:rPr>
        <w:t xml:space="preserve">: </w:t>
      </w:r>
      <w:r w:rsidR="005C0BA0" w:rsidRPr="008872D0">
        <w:rPr>
          <w:rFonts w:ascii="Garamond" w:hAnsi="Garamond" w:cs="Cambria"/>
          <w:color w:val="000000"/>
        </w:rPr>
        <w:t xml:space="preserve">by appointment </w:t>
      </w:r>
      <w:hyperlink r:id="rId12" w:history="1">
        <w:r w:rsidR="005C0BA0" w:rsidRPr="008872D0">
          <w:rPr>
            <w:rStyle w:val="Hyperlink"/>
            <w:rFonts w:ascii="Garamond" w:hAnsi="Garamond" w:cs="Cambria"/>
          </w:rPr>
          <w:t>www.kochenov.eu</w:t>
        </w:r>
      </w:hyperlink>
      <w:r w:rsidR="005C0BA0" w:rsidRPr="008872D0">
        <w:rPr>
          <w:rFonts w:ascii="Garamond" w:hAnsi="Garamond" w:cs="Cambria"/>
          <w:color w:val="000000"/>
        </w:rPr>
        <w:t xml:space="preserve"> </w:t>
      </w:r>
      <w:hyperlink r:id="rId13" w:history="1">
        <w:r w:rsidR="005C0BA0" w:rsidRPr="008872D0">
          <w:rPr>
            <w:rStyle w:val="Hyperlink"/>
            <w:rFonts w:ascii="Garamond" w:hAnsi="Garamond" w:cs="Cambria"/>
          </w:rPr>
          <w:t>kochenovd@ceu.edu</w:t>
        </w:r>
      </w:hyperlink>
      <w:r w:rsidR="005C0BA0" w:rsidRPr="008872D0">
        <w:rPr>
          <w:rFonts w:ascii="Garamond" w:hAnsi="Garamond" w:cs="Cambria"/>
          <w:color w:val="000000"/>
        </w:rPr>
        <w:t xml:space="preserve"> </w:t>
      </w:r>
    </w:p>
    <w:p w14:paraId="672A6659" w14:textId="77777777" w:rsidR="008667F2" w:rsidRPr="008872D0" w:rsidRDefault="008667F2" w:rsidP="008667F2">
      <w:pPr>
        <w:widowControl w:val="0"/>
        <w:autoSpaceDE w:val="0"/>
        <w:autoSpaceDN w:val="0"/>
        <w:adjustRightInd w:val="0"/>
        <w:spacing w:before="43" w:after="0" w:line="240" w:lineRule="auto"/>
        <w:jc w:val="both"/>
        <w:rPr>
          <w:rFonts w:ascii="Garamond" w:hAnsi="Garamond" w:cs="Arial"/>
        </w:rPr>
      </w:pPr>
    </w:p>
    <w:p w14:paraId="0954563C" w14:textId="01BC3E39" w:rsidR="00CC66E7" w:rsidRPr="008872D0" w:rsidRDefault="00DC5D16" w:rsidP="00CC66E7">
      <w:pPr>
        <w:widowControl w:val="0"/>
        <w:autoSpaceDE w:val="0"/>
        <w:autoSpaceDN w:val="0"/>
        <w:adjustRightInd w:val="0"/>
        <w:spacing w:before="44" w:after="0" w:line="240" w:lineRule="auto"/>
        <w:jc w:val="both"/>
        <w:rPr>
          <w:rFonts w:ascii="Garamond" w:hAnsi="Garamond" w:cs="Cambria"/>
          <w:b/>
          <w:bCs/>
          <w:color w:val="000000"/>
        </w:rPr>
      </w:pPr>
      <w:r w:rsidRPr="008872D0">
        <w:rPr>
          <w:rFonts w:ascii="Garamond" w:hAnsi="Garamond" w:cs="Cambria"/>
          <w:b/>
          <w:bCs/>
          <w:color w:val="000000"/>
        </w:rPr>
        <w:t>BRIEF INTRODUCTION:</w:t>
      </w:r>
    </w:p>
    <w:p w14:paraId="675B4BD6" w14:textId="0C001133" w:rsidR="00711D82" w:rsidRPr="008872D0" w:rsidRDefault="00711D82" w:rsidP="008667F2">
      <w:pPr>
        <w:widowControl w:val="0"/>
        <w:autoSpaceDE w:val="0"/>
        <w:autoSpaceDN w:val="0"/>
        <w:adjustRightInd w:val="0"/>
        <w:spacing w:before="46" w:after="0" w:line="240" w:lineRule="auto"/>
        <w:jc w:val="both"/>
        <w:rPr>
          <w:rFonts w:ascii="Garamond" w:hAnsi="Garamond"/>
          <w:color w:val="505050"/>
          <w:shd w:val="clear" w:color="auto" w:fill="FFFFFF"/>
        </w:rPr>
      </w:pPr>
      <w:r w:rsidRPr="008872D0">
        <w:rPr>
          <w:rFonts w:ascii="Garamond" w:hAnsi="Garamond"/>
          <w:color w:val="505050"/>
          <w:shd w:val="clear" w:color="auto" w:fill="FFFFFF"/>
        </w:rPr>
        <w:t xml:space="preserve">The European Union is based on the values of democracy, rule of law, and human rights protection (inter alia). </w:t>
      </w:r>
      <w:r w:rsidRPr="008872D0">
        <w:rPr>
          <w:rFonts w:ascii="Garamond" w:hAnsi="Garamond"/>
          <w:color w:val="505050"/>
          <w:shd w:val="clear" w:color="auto" w:fill="FFFFFF"/>
        </w:rPr>
        <w:t>Although compliance with the founding values is presumed in its law, the Union is now confronted with persistent disregard of these values in two Member States. If it ceases to be a union of Rule-of-Law-abiding democracies, the EU is unthinkable. Purely political mechanisms to safeguard the Rule of Law, like those in Article 7 TEU, do not work. Worse still, their existence has disguised the fact that the violations of the values of Article 2 TEU are also violations of EU law. The legal mechanisms tried thus far, however, do not work either. The fundamental jurisprudence on judicial independence and irremovability under Article 19(1) TEU is a good start, but it has been unable to change the situation on the ground. Despite ten years of EU attempts at reining in Rule of Law violations and even as backsliding Member States have lost cases at the Court of Justice, illiberal regimes inside the EU have become more consolidated. More creative work is needed to find ways to enforce the values of Article 2 TEU more effectively. Taking this insight, we propose to turn the EU into a militant democracy, able to defend its basic principles, by using the traditional tools for the enforcement of EU law in a novel manner.</w:t>
      </w:r>
      <w:r w:rsidRPr="008872D0">
        <w:rPr>
          <w:rFonts w:ascii="Garamond" w:hAnsi="Garamond"/>
          <w:color w:val="505050"/>
          <w:shd w:val="clear" w:color="auto" w:fill="FFFFFF"/>
        </w:rPr>
        <w:t xml:space="preserve"> This brief course will focus on the history of values-articulation in the EU, as well as their enforcement, approaching the subject matter in a critical vein. Buckle up of a couple of interesting discoveries about the Union and the nature of its law. </w:t>
      </w:r>
    </w:p>
    <w:p w14:paraId="2C9EEB89" w14:textId="77777777" w:rsidR="00711D82" w:rsidRPr="008872D0" w:rsidRDefault="00711D82" w:rsidP="008667F2">
      <w:pPr>
        <w:widowControl w:val="0"/>
        <w:autoSpaceDE w:val="0"/>
        <w:autoSpaceDN w:val="0"/>
        <w:adjustRightInd w:val="0"/>
        <w:spacing w:before="46" w:after="0" w:line="240" w:lineRule="auto"/>
        <w:jc w:val="both"/>
        <w:rPr>
          <w:rFonts w:ascii="Garamond" w:hAnsi="Garamond"/>
          <w:color w:val="505050"/>
          <w:shd w:val="clear" w:color="auto" w:fill="FFFFFF"/>
        </w:rPr>
      </w:pPr>
    </w:p>
    <w:p w14:paraId="4C5FE622" w14:textId="7B4A4578" w:rsidR="008667F2" w:rsidRPr="008872D0" w:rsidRDefault="00DC5D16" w:rsidP="008667F2">
      <w:pPr>
        <w:widowControl w:val="0"/>
        <w:autoSpaceDE w:val="0"/>
        <w:autoSpaceDN w:val="0"/>
        <w:adjustRightInd w:val="0"/>
        <w:spacing w:before="46" w:after="0" w:line="240" w:lineRule="auto"/>
        <w:jc w:val="both"/>
        <w:rPr>
          <w:rFonts w:ascii="Garamond" w:hAnsi="Garamond" w:cs="Cambria"/>
          <w:bCs/>
          <w:color w:val="000000"/>
        </w:rPr>
      </w:pPr>
      <w:r w:rsidRPr="008872D0">
        <w:rPr>
          <w:rFonts w:ascii="Garamond" w:hAnsi="Garamond" w:cs="Cambria"/>
          <w:b/>
          <w:bCs/>
          <w:color w:val="000000"/>
        </w:rPr>
        <w:t>GOALS:</w:t>
      </w:r>
      <w:r w:rsidR="003A2113" w:rsidRPr="008872D0">
        <w:rPr>
          <w:rFonts w:ascii="Garamond" w:hAnsi="Garamond" w:cs="Cambria"/>
          <w:b/>
          <w:bCs/>
          <w:color w:val="000000"/>
        </w:rPr>
        <w:t xml:space="preserve"> </w:t>
      </w:r>
      <w:r w:rsidR="003A2113" w:rsidRPr="008872D0">
        <w:rPr>
          <w:rFonts w:ascii="Garamond" w:hAnsi="Garamond" w:cs="Cambria"/>
          <w:bCs/>
          <w:color w:val="000000"/>
        </w:rPr>
        <w:t xml:space="preserve">The course’s core objective is to provide a </w:t>
      </w:r>
      <w:r w:rsidR="00711D82" w:rsidRPr="008872D0">
        <w:rPr>
          <w:rFonts w:ascii="Garamond" w:hAnsi="Garamond" w:cs="Cambria"/>
          <w:bCs/>
          <w:color w:val="000000"/>
        </w:rPr>
        <w:t>meticulous state of the art engagement with the values of the Union expressed in Article 2 TEU with a particular emphasis on democracy and the rule of law.</w:t>
      </w:r>
    </w:p>
    <w:p w14:paraId="5DAB6C7B" w14:textId="77777777" w:rsidR="008667F2" w:rsidRPr="008872D0" w:rsidRDefault="008667F2" w:rsidP="008667F2">
      <w:pPr>
        <w:widowControl w:val="0"/>
        <w:autoSpaceDE w:val="0"/>
        <w:autoSpaceDN w:val="0"/>
        <w:adjustRightInd w:val="0"/>
        <w:spacing w:after="0" w:line="240" w:lineRule="auto"/>
        <w:jc w:val="both"/>
        <w:rPr>
          <w:rFonts w:ascii="Garamond" w:hAnsi="Garamond" w:cs="Cambria"/>
          <w:b/>
          <w:bCs/>
          <w:color w:val="000000"/>
        </w:rPr>
      </w:pPr>
    </w:p>
    <w:p w14:paraId="3685CD49" w14:textId="401D256A" w:rsidR="00E23DCB" w:rsidRPr="008872D0" w:rsidRDefault="00DC5D16" w:rsidP="00E23DCB">
      <w:pPr>
        <w:widowControl w:val="0"/>
        <w:autoSpaceDE w:val="0"/>
        <w:autoSpaceDN w:val="0"/>
        <w:adjustRightInd w:val="0"/>
        <w:spacing w:after="0" w:line="240" w:lineRule="auto"/>
        <w:jc w:val="both"/>
        <w:rPr>
          <w:rFonts w:ascii="Garamond" w:hAnsi="Garamond" w:cs="Cambria"/>
          <w:b/>
          <w:bCs/>
          <w:color w:val="000000"/>
        </w:rPr>
      </w:pPr>
      <w:r w:rsidRPr="008872D0">
        <w:rPr>
          <w:rFonts w:ascii="Garamond" w:hAnsi="Garamond" w:cs="Cambria"/>
          <w:b/>
          <w:bCs/>
          <w:color w:val="000000"/>
        </w:rPr>
        <w:t>LEARNING OUTCOMES</w:t>
      </w:r>
      <w:r w:rsidR="00E23DCB" w:rsidRPr="008872D0">
        <w:rPr>
          <w:rFonts w:ascii="Garamond" w:hAnsi="Garamond" w:cs="Cambria"/>
          <w:b/>
          <w:bCs/>
          <w:color w:val="000000"/>
        </w:rPr>
        <w:t>:</w:t>
      </w:r>
    </w:p>
    <w:p w14:paraId="57A3FB05" w14:textId="20454D46" w:rsidR="00DB67D4" w:rsidRPr="008872D0" w:rsidRDefault="00DB67D4" w:rsidP="00DB67D4">
      <w:pPr>
        <w:pStyle w:val="Default"/>
        <w:rPr>
          <w:rFonts w:ascii="Garamond" w:hAnsi="Garamond"/>
        </w:rPr>
      </w:pPr>
      <w:r w:rsidRPr="008872D0">
        <w:rPr>
          <w:rFonts w:ascii="Garamond" w:hAnsi="Garamond"/>
        </w:rPr>
        <w:t xml:space="preserve">- Knowledge of the basics of </w:t>
      </w:r>
      <w:r w:rsidR="001D3C04" w:rsidRPr="008872D0">
        <w:rPr>
          <w:rFonts w:ascii="Garamond" w:hAnsi="Garamond"/>
        </w:rPr>
        <w:t>EU values and ability of their</w:t>
      </w:r>
      <w:r w:rsidRPr="008872D0">
        <w:rPr>
          <w:rFonts w:ascii="Garamond" w:hAnsi="Garamond"/>
        </w:rPr>
        <w:t xml:space="preserve"> critical evaluation;</w:t>
      </w:r>
    </w:p>
    <w:p w14:paraId="6D918C65" w14:textId="71AF6076" w:rsidR="00DB67D4" w:rsidRPr="008872D0" w:rsidRDefault="00DB67D4" w:rsidP="00DB67D4">
      <w:pPr>
        <w:pStyle w:val="Default"/>
        <w:rPr>
          <w:rFonts w:ascii="Garamond" w:hAnsi="Garamond"/>
        </w:rPr>
      </w:pPr>
      <w:r w:rsidRPr="008872D0">
        <w:rPr>
          <w:rFonts w:ascii="Garamond" w:hAnsi="Garamond"/>
        </w:rPr>
        <w:t xml:space="preserve">- </w:t>
      </w:r>
      <w:r w:rsidRPr="008872D0">
        <w:rPr>
          <w:rFonts w:ascii="Garamond" w:hAnsi="Garamond" w:cs="Garamond"/>
          <w:sz w:val="22"/>
          <w:szCs w:val="22"/>
        </w:rPr>
        <w:t xml:space="preserve">Critical regard of the key theories underlying the concept of </w:t>
      </w:r>
      <w:r w:rsidR="001D3C04" w:rsidRPr="008872D0">
        <w:rPr>
          <w:rFonts w:ascii="Garamond" w:hAnsi="Garamond" w:cs="Garamond"/>
          <w:sz w:val="22"/>
          <w:szCs w:val="22"/>
        </w:rPr>
        <w:t>the Union founded on Art 2 values</w:t>
      </w:r>
      <w:r w:rsidRPr="008872D0">
        <w:rPr>
          <w:rFonts w:ascii="Garamond" w:hAnsi="Garamond" w:cs="Garamond"/>
          <w:sz w:val="22"/>
          <w:szCs w:val="22"/>
        </w:rPr>
        <w:t xml:space="preserve"> and its functioning</w:t>
      </w:r>
      <w:r w:rsidR="002E0E89" w:rsidRPr="008872D0">
        <w:rPr>
          <w:rFonts w:ascii="Garamond" w:hAnsi="Garamond" w:cs="Garamond"/>
          <w:sz w:val="22"/>
          <w:szCs w:val="22"/>
        </w:rPr>
        <w:t xml:space="preserve">; </w:t>
      </w:r>
    </w:p>
    <w:p w14:paraId="2C31A412" w14:textId="66E0297E" w:rsidR="002E0E89" w:rsidRPr="008872D0" w:rsidRDefault="00DB67D4" w:rsidP="00DB67D4">
      <w:pPr>
        <w:pStyle w:val="Default"/>
        <w:rPr>
          <w:rFonts w:ascii="Garamond" w:hAnsi="Garamond" w:cs="Garamond"/>
          <w:sz w:val="22"/>
          <w:szCs w:val="22"/>
        </w:rPr>
      </w:pPr>
      <w:r w:rsidRPr="008872D0">
        <w:rPr>
          <w:rFonts w:ascii="Garamond" w:hAnsi="Garamond"/>
        </w:rPr>
        <w:t xml:space="preserve">- </w:t>
      </w:r>
      <w:r w:rsidRPr="008872D0">
        <w:rPr>
          <w:rFonts w:ascii="Garamond" w:hAnsi="Garamond" w:cs="Garamond"/>
          <w:sz w:val="22"/>
          <w:szCs w:val="22"/>
        </w:rPr>
        <w:t>Evaluation of key</w:t>
      </w:r>
      <w:r w:rsidR="002E0E89" w:rsidRPr="008872D0">
        <w:rPr>
          <w:rFonts w:ascii="Garamond" w:hAnsi="Garamond" w:cs="Garamond"/>
          <w:sz w:val="22"/>
          <w:szCs w:val="22"/>
        </w:rPr>
        <w:t xml:space="preserve"> rules and theories</w:t>
      </w:r>
      <w:r w:rsidR="001D3C04" w:rsidRPr="008872D0">
        <w:rPr>
          <w:rFonts w:ascii="Garamond" w:hAnsi="Garamond" w:cs="Garamond"/>
          <w:sz w:val="22"/>
          <w:szCs w:val="22"/>
        </w:rPr>
        <w:t xml:space="preserve"> of EU values</w:t>
      </w:r>
      <w:r w:rsidR="002E0E89" w:rsidRPr="008872D0">
        <w:rPr>
          <w:rFonts w:ascii="Garamond" w:hAnsi="Garamond" w:cs="Garamond"/>
          <w:sz w:val="22"/>
          <w:szCs w:val="22"/>
        </w:rPr>
        <w:t xml:space="preserve"> in terms of internal coherence and practical outcomes; </w:t>
      </w:r>
    </w:p>
    <w:p w14:paraId="788AC4B0" w14:textId="07193EA7" w:rsidR="00DB67D4" w:rsidRPr="008872D0" w:rsidRDefault="00DB67D4" w:rsidP="00DB67D4">
      <w:pPr>
        <w:pStyle w:val="Default"/>
        <w:rPr>
          <w:rFonts w:ascii="Garamond" w:hAnsi="Garamond" w:cs="Garamond"/>
          <w:sz w:val="22"/>
          <w:szCs w:val="22"/>
        </w:rPr>
      </w:pPr>
      <w:r w:rsidRPr="008872D0">
        <w:rPr>
          <w:rFonts w:ascii="Garamond" w:hAnsi="Garamond" w:cs="Garamond"/>
          <w:sz w:val="22"/>
          <w:szCs w:val="22"/>
        </w:rPr>
        <w:t xml:space="preserve">- Skills to work with </w:t>
      </w:r>
      <w:r w:rsidR="001D3C04" w:rsidRPr="008872D0">
        <w:rPr>
          <w:rFonts w:ascii="Garamond" w:hAnsi="Garamond" w:cs="Garamond"/>
          <w:sz w:val="22"/>
          <w:szCs w:val="22"/>
        </w:rPr>
        <w:t>primary and secondary EU law sources</w:t>
      </w:r>
      <w:r w:rsidRPr="008872D0">
        <w:rPr>
          <w:rFonts w:ascii="Garamond" w:hAnsi="Garamond" w:cs="Garamond"/>
          <w:sz w:val="22"/>
          <w:szCs w:val="22"/>
        </w:rPr>
        <w:t>;</w:t>
      </w:r>
    </w:p>
    <w:p w14:paraId="72753023" w14:textId="202F50DB" w:rsidR="00DB67D4" w:rsidRPr="008872D0" w:rsidRDefault="00DB67D4" w:rsidP="00DB67D4">
      <w:pPr>
        <w:pStyle w:val="Default"/>
        <w:rPr>
          <w:rFonts w:ascii="Garamond" w:hAnsi="Garamond" w:cs="Garamond"/>
          <w:sz w:val="22"/>
          <w:szCs w:val="22"/>
        </w:rPr>
      </w:pPr>
      <w:r w:rsidRPr="008872D0">
        <w:rPr>
          <w:rFonts w:ascii="Garamond" w:hAnsi="Garamond" w:cs="Garamond"/>
          <w:sz w:val="22"/>
          <w:szCs w:val="22"/>
        </w:rPr>
        <w:t xml:space="preserve">- All the natural benefits of working intensively in a small diverse intellectually engaged group: critical thinking; multicultural interpersonal skills; </w:t>
      </w:r>
      <w:r w:rsidR="00BA5E9E" w:rsidRPr="008872D0">
        <w:rPr>
          <w:rFonts w:ascii="Garamond" w:hAnsi="Garamond" w:cs="Garamond"/>
          <w:sz w:val="22"/>
          <w:szCs w:val="22"/>
        </w:rPr>
        <w:t>communication skills.</w:t>
      </w:r>
    </w:p>
    <w:p w14:paraId="57C7E715" w14:textId="77777777" w:rsidR="00DB67D4" w:rsidRPr="008872D0" w:rsidRDefault="00DB67D4" w:rsidP="00DB67D4">
      <w:pPr>
        <w:pStyle w:val="Default"/>
        <w:rPr>
          <w:rFonts w:ascii="Garamond" w:hAnsi="Garamond" w:cs="Garamond"/>
          <w:sz w:val="22"/>
          <w:szCs w:val="22"/>
        </w:rPr>
      </w:pPr>
    </w:p>
    <w:p w14:paraId="16D0BD0D" w14:textId="5970E14C" w:rsidR="003A2113" w:rsidRPr="008872D0" w:rsidRDefault="003A2113" w:rsidP="003A2113">
      <w:pPr>
        <w:spacing w:before="120" w:line="276" w:lineRule="auto"/>
        <w:jc w:val="both"/>
        <w:rPr>
          <w:rFonts w:ascii="Garamond" w:hAnsi="Garamond"/>
        </w:rPr>
      </w:pPr>
      <w:r w:rsidRPr="008872D0">
        <w:rPr>
          <w:rFonts w:ascii="Garamond" w:hAnsi="Garamond" w:cs="Cambria"/>
          <w:b/>
          <w:bCs/>
          <w:color w:val="000000"/>
        </w:rPr>
        <w:t xml:space="preserve">COURSE REQUIREMENTS AND FINAL </w:t>
      </w:r>
      <w:r w:rsidR="00DC5D16" w:rsidRPr="008872D0">
        <w:rPr>
          <w:rFonts w:ascii="Garamond" w:hAnsi="Garamond" w:cs="Cambria"/>
          <w:b/>
          <w:bCs/>
          <w:color w:val="000000"/>
        </w:rPr>
        <w:t>ASSESSMENT</w:t>
      </w:r>
      <w:proofErr w:type="gramStart"/>
      <w:r w:rsidR="00DC5D16" w:rsidRPr="008872D0">
        <w:rPr>
          <w:rFonts w:ascii="Garamond" w:hAnsi="Garamond" w:cs="Cambria"/>
          <w:b/>
          <w:bCs/>
          <w:color w:val="000000"/>
        </w:rPr>
        <w:t>:</w:t>
      </w:r>
      <w:proofErr w:type="gramEnd"/>
      <w:r w:rsidR="002509E5" w:rsidRPr="008872D0">
        <w:rPr>
          <w:rFonts w:ascii="Garamond" w:hAnsi="Garamond" w:cs="Cambria"/>
          <w:b/>
          <w:bCs/>
          <w:color w:val="000000"/>
        </w:rPr>
        <w:br/>
      </w:r>
      <w:r w:rsidRPr="008872D0">
        <w:rPr>
          <w:rFonts w:ascii="Garamond" w:hAnsi="Garamond"/>
        </w:rPr>
        <w:t xml:space="preserve">Class attendance is required and is indispensable for following the story of </w:t>
      </w:r>
      <w:r w:rsidR="00BA50DE" w:rsidRPr="008872D0">
        <w:rPr>
          <w:rFonts w:ascii="Garamond" w:hAnsi="Garamond"/>
        </w:rPr>
        <w:t>EU values</w:t>
      </w:r>
      <w:r w:rsidRPr="008872D0">
        <w:rPr>
          <w:rFonts w:ascii="Garamond" w:hAnsi="Garamond"/>
        </w:rPr>
        <w:t xml:space="preserve"> in a fruitful way. Students are expected to have closely read all the materials assigned for each class and are encouraged to read broader than the obligatory assigned materials (usually in the range of 25.000 words). Having this background knowledge is crucial: students are expected to be in the position to engage critically with the readings. Every student is expected to participate fully and actively in class discussions. Participation in and preparation for our in-class </w:t>
      </w:r>
      <w:proofErr w:type="gramStart"/>
      <w:r w:rsidRPr="008872D0">
        <w:rPr>
          <w:rFonts w:ascii="Garamond" w:hAnsi="Garamond"/>
        </w:rPr>
        <w:t>discussions is</w:t>
      </w:r>
      <w:proofErr w:type="gramEnd"/>
      <w:r w:rsidRPr="008872D0">
        <w:rPr>
          <w:rFonts w:ascii="Garamond" w:hAnsi="Garamond"/>
        </w:rPr>
        <w:t xml:space="preserve"> a critical part of the course and will be taken into account in assessing the final grade: Prof. Kochenov will collect 300–500-words summaries of each of the obligatory readings assigned </w:t>
      </w:r>
      <w:r w:rsidRPr="008872D0">
        <w:rPr>
          <w:rFonts w:ascii="Garamond" w:hAnsi="Garamond"/>
        </w:rPr>
        <w:lastRenderedPageBreak/>
        <w:t>before each class. The summaries are submitted in hard copy and only signed by a student number to ensure anonymity. The summaries are graded pass/fail. Students who receive a fail or fail to submit the summaries of the required readings one time in the course of the semester are entitled to resubmit. Failure to submit suitable summaries the second time will result in a lower grade. Second resubmission will not be possible.</w:t>
      </w:r>
    </w:p>
    <w:p w14:paraId="60F15005" w14:textId="77777777" w:rsidR="003A2113" w:rsidRPr="008872D0" w:rsidRDefault="003A2113" w:rsidP="003A2113">
      <w:pPr>
        <w:spacing w:before="120" w:line="276" w:lineRule="auto"/>
        <w:ind w:firstLine="708"/>
        <w:jc w:val="both"/>
        <w:rPr>
          <w:rFonts w:ascii="Garamond" w:hAnsi="Garamond"/>
        </w:rPr>
      </w:pPr>
      <w:r w:rsidRPr="008872D0">
        <w:rPr>
          <w:rFonts w:ascii="Garamond" w:hAnsi="Garamond"/>
        </w:rPr>
        <w:t>Final assessment: students will be expected to write a 5.000–7.000-words essay over the course of the semester. In each essay, the students are expected to critically engage with the themes of the seminar in light of the assigned readings and class discussions. The topic is selected in consultation with Prof. Kochenov, who will also be available to offer comments on the initial structure and on the draft close to completion. The grade for the essay is the final grade for this course, unless of course you failed the summaries of the obligatory readings for the second time during the semester, in which case the grade is lowered.</w:t>
      </w:r>
    </w:p>
    <w:p w14:paraId="41C8F396" w14:textId="77777777" w:rsidR="00DC5D16" w:rsidRPr="008872D0" w:rsidRDefault="00DC5D16" w:rsidP="008667F2">
      <w:pPr>
        <w:widowControl w:val="0"/>
        <w:autoSpaceDE w:val="0"/>
        <w:autoSpaceDN w:val="0"/>
        <w:adjustRightInd w:val="0"/>
        <w:spacing w:before="29" w:after="0" w:line="240" w:lineRule="auto"/>
        <w:jc w:val="both"/>
        <w:rPr>
          <w:rFonts w:ascii="Garamond" w:hAnsi="Garamond" w:cs="Arial"/>
        </w:rPr>
      </w:pPr>
    </w:p>
    <w:p w14:paraId="459B5BFF" w14:textId="56CF79F3" w:rsidR="008667F2" w:rsidRPr="008872D0" w:rsidRDefault="003A2113" w:rsidP="003A2113">
      <w:pPr>
        <w:widowControl w:val="0"/>
        <w:autoSpaceDE w:val="0"/>
        <w:autoSpaceDN w:val="0"/>
        <w:adjustRightInd w:val="0"/>
        <w:spacing w:after="0" w:line="240" w:lineRule="auto"/>
        <w:jc w:val="both"/>
        <w:rPr>
          <w:rFonts w:ascii="Garamond" w:hAnsi="Garamond" w:cs="Cambria"/>
          <w:b/>
          <w:bCs/>
          <w:color w:val="000000"/>
        </w:rPr>
      </w:pPr>
      <w:r w:rsidRPr="008872D0">
        <w:rPr>
          <w:rFonts w:ascii="Garamond" w:hAnsi="Garamond" w:cs="Cambria"/>
          <w:b/>
          <w:bCs/>
          <w:color w:val="000000"/>
        </w:rPr>
        <w:t>WEEKLY PLAN OF THE COURSE AND COMPULSORY READINGS / OTHER MATERIALS</w:t>
      </w:r>
    </w:p>
    <w:p w14:paraId="117970ED" w14:textId="77777777" w:rsidR="008872D0" w:rsidRPr="008872D0" w:rsidRDefault="008872D0" w:rsidP="008872D0">
      <w:pPr>
        <w:spacing w:line="276" w:lineRule="auto"/>
        <w:jc w:val="center"/>
        <w:rPr>
          <w:rFonts w:ascii="Garamond" w:hAnsi="Garamond"/>
          <w:b/>
          <w:sz w:val="24"/>
          <w:szCs w:val="24"/>
        </w:rPr>
      </w:pPr>
    </w:p>
    <w:p w14:paraId="7AEDFC1A" w14:textId="77777777" w:rsidR="008872D0" w:rsidRPr="008872D0" w:rsidRDefault="008872D0" w:rsidP="008872D0">
      <w:pPr>
        <w:pStyle w:val="ListParagraph"/>
        <w:numPr>
          <w:ilvl w:val="0"/>
          <w:numId w:val="3"/>
        </w:numPr>
        <w:spacing w:line="276" w:lineRule="auto"/>
        <w:jc w:val="both"/>
        <w:rPr>
          <w:rFonts w:ascii="Garamond" w:hAnsi="Garamond"/>
          <w:b/>
          <w:lang w:val="en-US"/>
        </w:rPr>
      </w:pPr>
      <w:r w:rsidRPr="008872D0">
        <w:rPr>
          <w:rFonts w:ascii="Garamond" w:hAnsi="Garamond"/>
          <w:b/>
          <w:lang w:val="en-US"/>
        </w:rPr>
        <w:t>Introduction and welcome: back to the founding</w:t>
      </w:r>
      <w:r w:rsidRPr="008872D0">
        <w:rPr>
          <w:rFonts w:ascii="Garamond" w:hAnsi="Garamond"/>
          <w:b/>
          <w:i/>
          <w:lang w:val="en-US"/>
        </w:rPr>
        <w:t xml:space="preserve"> </w:t>
      </w:r>
      <w:r w:rsidRPr="008872D0">
        <w:rPr>
          <w:rFonts w:ascii="Garamond" w:hAnsi="Garamond"/>
          <w:lang w:val="en-US"/>
        </w:rPr>
        <w:t>(17 November, 1.30pm)</w:t>
      </w:r>
    </w:p>
    <w:p w14:paraId="16ED60A4" w14:textId="77777777" w:rsidR="008872D0" w:rsidRPr="008872D0" w:rsidRDefault="008872D0" w:rsidP="008872D0">
      <w:pPr>
        <w:spacing w:line="276" w:lineRule="auto"/>
        <w:jc w:val="both"/>
        <w:rPr>
          <w:rFonts w:ascii="Garamond" w:hAnsi="Garamond"/>
          <w:b/>
          <w:i/>
          <w:sz w:val="24"/>
          <w:szCs w:val="24"/>
        </w:rPr>
      </w:pPr>
      <w:r w:rsidRPr="008872D0">
        <w:rPr>
          <w:rFonts w:ascii="Garamond" w:hAnsi="Garamond"/>
          <w:b/>
          <w:i/>
          <w:sz w:val="24"/>
          <w:szCs w:val="24"/>
        </w:rPr>
        <w:t>We explore colonialism and nuclear armament as the founding objectives of integration</w:t>
      </w:r>
    </w:p>
    <w:p w14:paraId="63947107" w14:textId="77777777" w:rsidR="008872D0" w:rsidRPr="008872D0" w:rsidRDefault="008872D0" w:rsidP="008872D0">
      <w:pPr>
        <w:pStyle w:val="FootnoteText"/>
        <w:numPr>
          <w:ilvl w:val="0"/>
          <w:numId w:val="6"/>
        </w:numPr>
        <w:jc w:val="both"/>
        <w:rPr>
          <w:rFonts w:ascii="Garamond" w:hAnsi="Garamond" w:cstheme="minorHAnsi"/>
          <w:sz w:val="22"/>
          <w:szCs w:val="22"/>
          <w:lang w:val="en-GB"/>
        </w:rPr>
      </w:pPr>
      <w:r w:rsidRPr="008872D0">
        <w:rPr>
          <w:rFonts w:ascii="Garamond" w:hAnsi="Garamond" w:cstheme="minorHAnsi"/>
          <w:sz w:val="22"/>
          <w:szCs w:val="22"/>
          <w:lang w:val="en-GB"/>
        </w:rPr>
        <w:t xml:space="preserve">The Schuman Declaration (1950): </w:t>
      </w:r>
      <w:hyperlink r:id="rId14" w:history="1">
        <w:r w:rsidRPr="008872D0">
          <w:rPr>
            <w:rStyle w:val="Hyperlink"/>
            <w:rFonts w:ascii="Garamond" w:hAnsi="Garamond" w:cstheme="minorHAnsi"/>
            <w:color w:val="auto"/>
            <w:sz w:val="22"/>
            <w:szCs w:val="22"/>
            <w:lang w:val="en-GB"/>
          </w:rPr>
          <w:t>https://www.robert-schuman.eu/en/doc/questions-d-europe/qe-204-en.pdf</w:t>
        </w:r>
      </w:hyperlink>
      <w:r w:rsidRPr="008872D0">
        <w:rPr>
          <w:rFonts w:ascii="Garamond" w:hAnsi="Garamond" w:cstheme="minorHAnsi"/>
          <w:sz w:val="22"/>
          <w:szCs w:val="22"/>
          <w:lang w:val="en-GB"/>
        </w:rPr>
        <w:t xml:space="preserve"> </w:t>
      </w:r>
    </w:p>
    <w:p w14:paraId="50C105D0" w14:textId="77777777" w:rsidR="008872D0" w:rsidRPr="008872D0" w:rsidRDefault="008872D0" w:rsidP="008872D0">
      <w:pPr>
        <w:pStyle w:val="FootnoteText"/>
        <w:numPr>
          <w:ilvl w:val="0"/>
          <w:numId w:val="6"/>
        </w:numPr>
        <w:rPr>
          <w:rFonts w:ascii="Garamond" w:hAnsi="Garamond" w:cstheme="minorHAnsi"/>
          <w:sz w:val="22"/>
          <w:szCs w:val="22"/>
          <w:lang w:val="en-GB"/>
        </w:rPr>
      </w:pPr>
      <w:r w:rsidRPr="008872D0">
        <w:rPr>
          <w:rFonts w:ascii="Garamond" w:hAnsi="Garamond" w:cstheme="minorHAnsi"/>
          <w:sz w:val="22"/>
          <w:szCs w:val="22"/>
          <w:lang w:val="en-GB"/>
        </w:rPr>
        <w:t xml:space="preserve">Andrew Williams, </w:t>
      </w:r>
      <w:r w:rsidRPr="008872D0">
        <w:rPr>
          <w:rFonts w:ascii="Garamond" w:hAnsi="Garamond" w:cstheme="minorHAnsi"/>
          <w:i/>
          <w:sz w:val="22"/>
          <w:szCs w:val="22"/>
          <w:lang w:val="en-GB"/>
        </w:rPr>
        <w:t>The Ethos of Europe</w:t>
      </w:r>
      <w:r w:rsidRPr="008872D0">
        <w:rPr>
          <w:rFonts w:ascii="Garamond" w:hAnsi="Garamond" w:cstheme="minorHAnsi"/>
          <w:sz w:val="22"/>
          <w:szCs w:val="22"/>
          <w:lang w:val="en-GB"/>
        </w:rPr>
        <w:t xml:space="preserve">, Cambridge: Cambridge University Press, 2010, chapter 1: ‘Peace’: pp. 22–69 </w:t>
      </w:r>
      <w:hyperlink r:id="rId15" w:history="1">
        <w:r w:rsidRPr="008872D0">
          <w:rPr>
            <w:rStyle w:val="Hyperlink"/>
            <w:rFonts w:ascii="Garamond" w:hAnsi="Garamond" w:cstheme="minorHAnsi"/>
            <w:color w:val="auto"/>
            <w:sz w:val="22"/>
            <w:szCs w:val="22"/>
            <w:lang w:val="en-GB"/>
          </w:rPr>
          <w:t>https://www.cambridge.org/core/books/ethos-of-europe/peace/5C38ADE38591D060001A25E293DB9240</w:t>
        </w:r>
      </w:hyperlink>
      <w:r w:rsidRPr="008872D0">
        <w:rPr>
          <w:rFonts w:ascii="Garamond" w:hAnsi="Garamond" w:cstheme="minorHAnsi"/>
          <w:sz w:val="22"/>
          <w:szCs w:val="22"/>
          <w:lang w:val="en-GB"/>
        </w:rPr>
        <w:t xml:space="preserve"> </w:t>
      </w:r>
    </w:p>
    <w:p w14:paraId="1808E876" w14:textId="77777777" w:rsidR="008872D0" w:rsidRPr="008872D0" w:rsidRDefault="008872D0" w:rsidP="008872D0">
      <w:pPr>
        <w:pStyle w:val="FootnoteText"/>
        <w:ind w:left="720"/>
        <w:rPr>
          <w:rFonts w:ascii="Garamond" w:hAnsi="Garamond" w:cstheme="minorHAnsi"/>
          <w:sz w:val="22"/>
          <w:szCs w:val="22"/>
          <w:lang w:val="en-GB"/>
        </w:rPr>
      </w:pPr>
    </w:p>
    <w:p w14:paraId="28CABFED" w14:textId="77777777" w:rsidR="008872D0" w:rsidRPr="008872D0" w:rsidRDefault="008872D0" w:rsidP="008872D0">
      <w:pPr>
        <w:pStyle w:val="FootnoteText"/>
        <w:ind w:left="720"/>
        <w:rPr>
          <w:rFonts w:ascii="Garamond" w:hAnsi="Garamond" w:cstheme="minorHAnsi"/>
          <w:i/>
          <w:sz w:val="22"/>
          <w:szCs w:val="22"/>
          <w:lang w:val="en-GB"/>
        </w:rPr>
      </w:pPr>
      <w:r w:rsidRPr="008872D0">
        <w:rPr>
          <w:rFonts w:ascii="Garamond" w:hAnsi="Garamond" w:cstheme="minorHAnsi"/>
          <w:i/>
          <w:sz w:val="22"/>
          <w:szCs w:val="22"/>
          <w:lang w:val="en-GB"/>
        </w:rPr>
        <w:t>Please also pick one of the following two readings. This one:</w:t>
      </w:r>
    </w:p>
    <w:p w14:paraId="05319E66" w14:textId="77777777" w:rsidR="008872D0" w:rsidRPr="008872D0" w:rsidRDefault="008872D0" w:rsidP="008872D0">
      <w:pPr>
        <w:pStyle w:val="FootnoteText"/>
        <w:numPr>
          <w:ilvl w:val="0"/>
          <w:numId w:val="6"/>
        </w:numPr>
        <w:rPr>
          <w:rFonts w:ascii="Garamond" w:hAnsi="Garamond" w:cstheme="minorHAnsi"/>
          <w:sz w:val="22"/>
          <w:szCs w:val="22"/>
          <w:lang w:val="en-GB"/>
        </w:rPr>
      </w:pPr>
      <w:proofErr w:type="spellStart"/>
      <w:r w:rsidRPr="008872D0">
        <w:rPr>
          <w:rFonts w:ascii="Garamond" w:hAnsi="Garamond" w:cstheme="minorHAnsi"/>
          <w:sz w:val="22"/>
          <w:szCs w:val="22"/>
          <w:lang w:val="en-GB"/>
        </w:rPr>
        <w:t>Peo</w:t>
      </w:r>
      <w:proofErr w:type="spellEnd"/>
      <w:r w:rsidRPr="008872D0">
        <w:rPr>
          <w:rFonts w:ascii="Garamond" w:hAnsi="Garamond" w:cstheme="minorHAnsi"/>
          <w:sz w:val="22"/>
          <w:szCs w:val="22"/>
          <w:lang w:val="en-GB"/>
        </w:rPr>
        <w:t xml:space="preserve"> Hansen and Stefan </w:t>
      </w:r>
      <w:proofErr w:type="spellStart"/>
      <w:r w:rsidRPr="008872D0">
        <w:rPr>
          <w:rFonts w:ascii="Garamond" w:hAnsi="Garamond" w:cstheme="minorHAnsi"/>
          <w:sz w:val="22"/>
          <w:szCs w:val="22"/>
          <w:lang w:val="en-GB"/>
        </w:rPr>
        <w:t>Jonsson</w:t>
      </w:r>
      <w:proofErr w:type="spellEnd"/>
      <w:r w:rsidRPr="008872D0">
        <w:rPr>
          <w:rFonts w:ascii="Garamond" w:hAnsi="Garamond" w:cstheme="minorHAnsi"/>
          <w:sz w:val="22"/>
          <w:szCs w:val="22"/>
          <w:lang w:val="en-GB"/>
        </w:rPr>
        <w:t xml:space="preserve">, </w:t>
      </w:r>
      <w:r w:rsidRPr="008872D0">
        <w:rPr>
          <w:rFonts w:ascii="Garamond" w:hAnsi="Garamond" w:cstheme="minorHAnsi"/>
          <w:i/>
          <w:sz w:val="22"/>
          <w:szCs w:val="22"/>
          <w:lang w:val="en-GB"/>
        </w:rPr>
        <w:t>Eurafrica: The Untold History of European Integration and Colonialism</w:t>
      </w:r>
      <w:r w:rsidRPr="008872D0">
        <w:rPr>
          <w:rFonts w:ascii="Garamond" w:hAnsi="Garamond" w:cstheme="minorHAnsi"/>
          <w:sz w:val="22"/>
          <w:szCs w:val="22"/>
          <w:lang w:val="en-GB"/>
        </w:rPr>
        <w:t xml:space="preserve">, London: Bloomsbury Academic 2014, chapter 1 ‘Introduction: The Past Europe Forgot’, pp. 1–16: </w:t>
      </w:r>
      <w:hyperlink r:id="rId16" w:history="1">
        <w:r w:rsidRPr="008872D0">
          <w:rPr>
            <w:rStyle w:val="Hyperlink"/>
            <w:rFonts w:ascii="Garamond" w:hAnsi="Garamond" w:cstheme="minorHAnsi"/>
            <w:color w:val="auto"/>
            <w:sz w:val="22"/>
            <w:szCs w:val="22"/>
            <w:lang w:val="en-GB"/>
          </w:rPr>
          <w:t>https://www.bloomsburycollections.com/book/eurafrica-the-untold-history-of-european-integration-and-colonialism/</w:t>
        </w:r>
        <w:r w:rsidRPr="008872D0">
          <w:rPr>
            <w:rStyle w:val="Hyperlink"/>
            <w:rFonts w:ascii="Garamond" w:hAnsi="Garamond" w:cstheme="minorHAnsi"/>
            <w:color w:val="auto"/>
            <w:sz w:val="22"/>
            <w:szCs w:val="22"/>
            <w:lang w:val="en-GB"/>
          </w:rPr>
          <w:t>c</w:t>
        </w:r>
        <w:r w:rsidRPr="008872D0">
          <w:rPr>
            <w:rStyle w:val="Hyperlink"/>
            <w:rFonts w:ascii="Garamond" w:hAnsi="Garamond" w:cstheme="minorHAnsi"/>
            <w:color w:val="auto"/>
            <w:sz w:val="22"/>
            <w:szCs w:val="22"/>
            <w:lang w:val="en-GB"/>
          </w:rPr>
          <w:t>h1-introduction-the-past-that-europe-forgot?from=search</w:t>
        </w:r>
      </w:hyperlink>
      <w:r w:rsidRPr="008872D0">
        <w:rPr>
          <w:rFonts w:ascii="Garamond" w:hAnsi="Garamond" w:cstheme="minorHAnsi"/>
          <w:sz w:val="22"/>
          <w:szCs w:val="22"/>
          <w:lang w:val="en-GB"/>
        </w:rPr>
        <w:t xml:space="preserve"> </w:t>
      </w:r>
    </w:p>
    <w:p w14:paraId="5B96647A" w14:textId="77777777" w:rsidR="008872D0" w:rsidRPr="008872D0" w:rsidRDefault="008872D0" w:rsidP="008872D0">
      <w:pPr>
        <w:pStyle w:val="FootnoteText"/>
        <w:ind w:left="720"/>
        <w:jc w:val="both"/>
        <w:rPr>
          <w:rFonts w:ascii="Garamond" w:hAnsi="Garamond" w:cstheme="minorHAnsi"/>
          <w:i/>
          <w:sz w:val="22"/>
          <w:szCs w:val="22"/>
          <w:lang w:val="en-GB"/>
        </w:rPr>
      </w:pPr>
    </w:p>
    <w:p w14:paraId="339989B7" w14:textId="77777777" w:rsidR="008872D0" w:rsidRPr="008872D0" w:rsidRDefault="008872D0" w:rsidP="008872D0">
      <w:pPr>
        <w:pStyle w:val="FootnoteText"/>
        <w:ind w:left="720"/>
        <w:jc w:val="both"/>
        <w:rPr>
          <w:rFonts w:ascii="Garamond" w:hAnsi="Garamond" w:cstheme="minorHAnsi"/>
          <w:i/>
          <w:sz w:val="22"/>
          <w:szCs w:val="22"/>
          <w:lang w:val="en-GB"/>
        </w:rPr>
      </w:pPr>
      <w:proofErr w:type="gramStart"/>
      <w:r w:rsidRPr="008872D0">
        <w:rPr>
          <w:rFonts w:ascii="Garamond" w:hAnsi="Garamond" w:cstheme="minorHAnsi"/>
          <w:i/>
          <w:sz w:val="22"/>
          <w:szCs w:val="22"/>
          <w:lang w:val="en-GB"/>
        </w:rPr>
        <w:t>or</w:t>
      </w:r>
      <w:proofErr w:type="gramEnd"/>
      <w:r w:rsidRPr="008872D0">
        <w:rPr>
          <w:rFonts w:ascii="Garamond" w:hAnsi="Garamond" w:cstheme="minorHAnsi"/>
          <w:i/>
          <w:sz w:val="22"/>
          <w:szCs w:val="22"/>
          <w:lang w:val="en-GB"/>
        </w:rPr>
        <w:t xml:space="preserve"> this one:</w:t>
      </w:r>
    </w:p>
    <w:p w14:paraId="244512D0" w14:textId="77777777" w:rsidR="008872D0" w:rsidRPr="008872D0" w:rsidRDefault="008872D0" w:rsidP="008872D0">
      <w:pPr>
        <w:pStyle w:val="FootnoteText"/>
        <w:numPr>
          <w:ilvl w:val="0"/>
          <w:numId w:val="6"/>
        </w:numPr>
        <w:jc w:val="both"/>
        <w:rPr>
          <w:rFonts w:ascii="Garamond" w:hAnsi="Garamond" w:cstheme="minorHAnsi"/>
          <w:sz w:val="22"/>
          <w:szCs w:val="22"/>
          <w:lang w:val="en-GB"/>
        </w:rPr>
      </w:pPr>
      <w:proofErr w:type="spellStart"/>
      <w:r w:rsidRPr="008872D0">
        <w:rPr>
          <w:rFonts w:ascii="Garamond" w:hAnsi="Garamond" w:cstheme="minorHAnsi"/>
          <w:sz w:val="22"/>
          <w:szCs w:val="22"/>
          <w:lang w:val="en-GB"/>
        </w:rPr>
        <w:t>Grégoire</w:t>
      </w:r>
      <w:proofErr w:type="spellEnd"/>
      <w:r w:rsidRPr="008872D0">
        <w:rPr>
          <w:rFonts w:ascii="Garamond" w:hAnsi="Garamond" w:cstheme="minorHAnsi"/>
          <w:sz w:val="22"/>
          <w:szCs w:val="22"/>
          <w:lang w:val="en-GB"/>
        </w:rPr>
        <w:t xml:space="preserve"> Mallard, ‘Crafting the Nuclear Regime Complex (1950–1975): Dynamics of Harmonization of Opaque Treaty Rules’, 25 </w:t>
      </w:r>
      <w:r w:rsidRPr="008872D0">
        <w:rPr>
          <w:rFonts w:ascii="Garamond" w:hAnsi="Garamond" w:cstheme="minorHAnsi"/>
          <w:i/>
          <w:sz w:val="22"/>
          <w:szCs w:val="22"/>
          <w:lang w:val="en-GB"/>
        </w:rPr>
        <w:t>EJIL</w:t>
      </w:r>
      <w:r w:rsidRPr="008872D0">
        <w:rPr>
          <w:rFonts w:ascii="Garamond" w:hAnsi="Garamond" w:cstheme="minorHAnsi"/>
          <w:sz w:val="22"/>
          <w:szCs w:val="22"/>
          <w:lang w:val="en-GB"/>
        </w:rPr>
        <w:t xml:space="preserve"> 2014, 445:</w:t>
      </w:r>
    </w:p>
    <w:p w14:paraId="08EF8D88" w14:textId="77777777" w:rsidR="008872D0" w:rsidRPr="008872D0" w:rsidRDefault="008872D0" w:rsidP="008872D0">
      <w:pPr>
        <w:pStyle w:val="FootnoteText"/>
        <w:ind w:left="720"/>
        <w:jc w:val="both"/>
        <w:rPr>
          <w:rFonts w:ascii="Garamond" w:hAnsi="Garamond" w:cstheme="minorHAnsi"/>
          <w:sz w:val="22"/>
          <w:szCs w:val="22"/>
          <w:lang w:val="en-GB"/>
        </w:rPr>
      </w:pPr>
      <w:hyperlink r:id="rId17" w:history="1">
        <w:r w:rsidRPr="008872D0">
          <w:rPr>
            <w:rStyle w:val="Hyperlink"/>
            <w:rFonts w:ascii="Garamond" w:hAnsi="Garamond" w:cstheme="minorHAnsi"/>
            <w:color w:val="auto"/>
            <w:sz w:val="22"/>
            <w:szCs w:val="22"/>
            <w:lang w:val="en-GB"/>
          </w:rPr>
          <w:t>https://academic.oup.com/ejil/article/25/2/445/406216</w:t>
        </w:r>
      </w:hyperlink>
      <w:r w:rsidRPr="008872D0">
        <w:rPr>
          <w:rFonts w:ascii="Garamond" w:hAnsi="Garamond" w:cstheme="minorHAnsi"/>
          <w:sz w:val="22"/>
          <w:szCs w:val="22"/>
          <w:lang w:val="en-GB"/>
        </w:rPr>
        <w:t xml:space="preserve"> </w:t>
      </w:r>
    </w:p>
    <w:p w14:paraId="69155752" w14:textId="77777777" w:rsidR="008872D0" w:rsidRPr="008872D0" w:rsidRDefault="008872D0" w:rsidP="008872D0">
      <w:pPr>
        <w:pStyle w:val="FootnoteText"/>
        <w:ind w:left="720"/>
        <w:jc w:val="both"/>
        <w:rPr>
          <w:rFonts w:ascii="Garamond" w:hAnsi="Garamond" w:cstheme="minorHAnsi"/>
          <w:sz w:val="22"/>
          <w:szCs w:val="22"/>
          <w:lang w:val="en-GB"/>
        </w:rPr>
      </w:pPr>
    </w:p>
    <w:p w14:paraId="72C3D87A" w14:textId="77777777" w:rsidR="008872D0" w:rsidRPr="008872D0" w:rsidRDefault="008872D0" w:rsidP="008872D0">
      <w:pPr>
        <w:pStyle w:val="FootnoteText"/>
        <w:ind w:left="720"/>
        <w:jc w:val="both"/>
        <w:rPr>
          <w:rFonts w:ascii="Garamond" w:hAnsi="Garamond" w:cstheme="minorHAnsi"/>
          <w:i/>
          <w:lang w:val="en-GB"/>
        </w:rPr>
      </w:pPr>
      <w:r w:rsidRPr="008872D0">
        <w:rPr>
          <w:rFonts w:ascii="Garamond" w:hAnsi="Garamond" w:cstheme="minorHAnsi"/>
          <w:i/>
          <w:lang w:val="en-GB"/>
        </w:rPr>
        <w:t>Additional readings: to know more</w:t>
      </w:r>
    </w:p>
    <w:p w14:paraId="5E54AB8B" w14:textId="77777777" w:rsidR="008872D0" w:rsidRPr="008872D0" w:rsidRDefault="008872D0" w:rsidP="008872D0">
      <w:pPr>
        <w:pStyle w:val="FootnoteText"/>
        <w:numPr>
          <w:ilvl w:val="0"/>
          <w:numId w:val="6"/>
        </w:numPr>
        <w:jc w:val="both"/>
        <w:rPr>
          <w:rFonts w:ascii="Garamond" w:hAnsi="Garamond" w:cstheme="minorHAnsi"/>
          <w:lang w:val="en-GB"/>
        </w:rPr>
      </w:pPr>
      <w:proofErr w:type="spellStart"/>
      <w:r w:rsidRPr="008872D0">
        <w:rPr>
          <w:rFonts w:ascii="Garamond" w:hAnsi="Garamond" w:cstheme="minorHAnsi"/>
          <w:lang w:val="en-GB"/>
        </w:rPr>
        <w:t>Gregoire</w:t>
      </w:r>
      <w:proofErr w:type="spellEnd"/>
      <w:r w:rsidRPr="008872D0">
        <w:rPr>
          <w:rFonts w:ascii="Garamond" w:hAnsi="Garamond" w:cstheme="minorHAnsi"/>
          <w:lang w:val="en-GB"/>
        </w:rPr>
        <w:t xml:space="preserve"> Mallard, </w:t>
      </w:r>
      <w:r w:rsidRPr="008872D0">
        <w:rPr>
          <w:rFonts w:ascii="Garamond" w:hAnsi="Garamond" w:cstheme="minorHAnsi"/>
          <w:i/>
          <w:lang w:val="en-GB"/>
        </w:rPr>
        <w:t>Fallout: Nuclear Diplomacy in the Age of Global Fracture</w:t>
      </w:r>
      <w:r w:rsidRPr="008872D0">
        <w:rPr>
          <w:rFonts w:ascii="Garamond" w:hAnsi="Garamond" w:cstheme="minorHAnsi"/>
          <w:lang w:val="en-GB"/>
        </w:rPr>
        <w:t>, Chicago IL, University of Chicago Press, 2014.</w:t>
      </w:r>
    </w:p>
    <w:p w14:paraId="7145CAA3" w14:textId="77777777" w:rsidR="008872D0" w:rsidRPr="008872D0" w:rsidRDefault="008872D0" w:rsidP="008872D0">
      <w:pPr>
        <w:pStyle w:val="FootnoteText"/>
        <w:numPr>
          <w:ilvl w:val="0"/>
          <w:numId w:val="6"/>
        </w:numPr>
        <w:jc w:val="both"/>
        <w:rPr>
          <w:rFonts w:ascii="Garamond" w:hAnsi="Garamond" w:cstheme="minorHAnsi"/>
          <w:lang w:val="en-GB"/>
        </w:rPr>
      </w:pPr>
      <w:r w:rsidRPr="008872D0">
        <w:rPr>
          <w:rFonts w:ascii="Garamond" w:hAnsi="Garamond" w:cstheme="minorHAnsi"/>
          <w:lang w:val="en-GB"/>
        </w:rPr>
        <w:t xml:space="preserve">Antoine </w:t>
      </w:r>
      <w:proofErr w:type="spellStart"/>
      <w:r w:rsidRPr="008872D0">
        <w:rPr>
          <w:rFonts w:ascii="Garamond" w:hAnsi="Garamond" w:cstheme="minorHAnsi"/>
          <w:lang w:val="en-GB"/>
        </w:rPr>
        <w:t>Vauchez</w:t>
      </w:r>
      <w:proofErr w:type="spellEnd"/>
      <w:r w:rsidRPr="008872D0">
        <w:rPr>
          <w:rFonts w:ascii="Garamond" w:hAnsi="Garamond" w:cstheme="minorHAnsi"/>
          <w:lang w:val="en-GB"/>
        </w:rPr>
        <w:t xml:space="preserve">, ‘The Transnational Politics of </w:t>
      </w:r>
      <w:proofErr w:type="spellStart"/>
      <w:r w:rsidRPr="008872D0">
        <w:rPr>
          <w:rFonts w:ascii="Garamond" w:hAnsi="Garamond" w:cstheme="minorHAnsi"/>
          <w:lang w:val="en-GB"/>
        </w:rPr>
        <w:t>Judicialization</w:t>
      </w:r>
      <w:proofErr w:type="spellEnd"/>
      <w:r w:rsidRPr="008872D0">
        <w:rPr>
          <w:rFonts w:ascii="Garamond" w:hAnsi="Garamond" w:cstheme="minorHAnsi"/>
          <w:lang w:val="en-GB"/>
        </w:rPr>
        <w:t xml:space="preserve">. </w:t>
      </w:r>
      <w:r w:rsidRPr="008872D0">
        <w:rPr>
          <w:rFonts w:ascii="Garamond" w:hAnsi="Garamond" w:cstheme="minorHAnsi"/>
          <w:i/>
          <w:lang w:val="en-GB"/>
        </w:rPr>
        <w:t xml:space="preserve">Van </w:t>
      </w:r>
      <w:proofErr w:type="spellStart"/>
      <w:r w:rsidRPr="008872D0">
        <w:rPr>
          <w:rFonts w:ascii="Garamond" w:hAnsi="Garamond" w:cstheme="minorHAnsi"/>
          <w:i/>
          <w:lang w:val="en-GB"/>
        </w:rPr>
        <w:t>Gend</w:t>
      </w:r>
      <w:proofErr w:type="spellEnd"/>
      <w:r w:rsidRPr="008872D0">
        <w:rPr>
          <w:rFonts w:ascii="Garamond" w:hAnsi="Garamond" w:cstheme="minorHAnsi"/>
          <w:i/>
          <w:lang w:val="en-GB"/>
        </w:rPr>
        <w:t xml:space="preserve"> </w:t>
      </w:r>
      <w:proofErr w:type="spellStart"/>
      <w:r w:rsidRPr="008872D0">
        <w:rPr>
          <w:rFonts w:ascii="Garamond" w:hAnsi="Garamond" w:cstheme="minorHAnsi"/>
          <w:i/>
          <w:lang w:val="en-GB"/>
        </w:rPr>
        <w:t>en</w:t>
      </w:r>
      <w:proofErr w:type="spellEnd"/>
      <w:r w:rsidRPr="008872D0">
        <w:rPr>
          <w:rFonts w:ascii="Garamond" w:hAnsi="Garamond" w:cstheme="minorHAnsi"/>
          <w:i/>
          <w:lang w:val="en-GB"/>
        </w:rPr>
        <w:t xml:space="preserve"> Loos </w:t>
      </w:r>
      <w:r w:rsidRPr="008872D0">
        <w:rPr>
          <w:rFonts w:ascii="Garamond" w:hAnsi="Garamond" w:cstheme="minorHAnsi"/>
          <w:lang w:val="en-GB"/>
        </w:rPr>
        <w:t xml:space="preserve">and the Making of EU Polity’, 16 </w:t>
      </w:r>
      <w:r w:rsidRPr="008872D0">
        <w:rPr>
          <w:rFonts w:ascii="Garamond" w:hAnsi="Garamond" w:cstheme="minorHAnsi"/>
          <w:i/>
          <w:lang w:val="en-GB"/>
        </w:rPr>
        <w:t xml:space="preserve">European Law Journal </w:t>
      </w:r>
      <w:r w:rsidRPr="008872D0">
        <w:rPr>
          <w:rFonts w:ascii="Garamond" w:hAnsi="Garamond" w:cstheme="minorHAnsi"/>
          <w:lang w:val="en-GB"/>
        </w:rPr>
        <w:t xml:space="preserve">2010, 1. </w:t>
      </w:r>
    </w:p>
    <w:p w14:paraId="1D7BB292" w14:textId="77777777" w:rsidR="008872D0" w:rsidRPr="008872D0" w:rsidRDefault="008872D0" w:rsidP="008872D0">
      <w:pPr>
        <w:pStyle w:val="FootnoteText"/>
        <w:numPr>
          <w:ilvl w:val="0"/>
          <w:numId w:val="6"/>
        </w:numPr>
        <w:jc w:val="both"/>
        <w:rPr>
          <w:rFonts w:ascii="Garamond" w:hAnsi="Garamond" w:cstheme="minorHAnsi"/>
          <w:lang w:val="en-GB"/>
        </w:rPr>
      </w:pPr>
      <w:proofErr w:type="spellStart"/>
      <w:r w:rsidRPr="008872D0">
        <w:rPr>
          <w:rFonts w:ascii="Garamond" w:hAnsi="Garamond" w:cs="Times New Roman"/>
          <w:lang w:val="en-GB"/>
        </w:rPr>
        <w:t>Amedeo</w:t>
      </w:r>
      <w:proofErr w:type="spellEnd"/>
      <w:r w:rsidRPr="008872D0">
        <w:rPr>
          <w:rFonts w:ascii="Garamond" w:hAnsi="Garamond" w:cs="Times New Roman"/>
          <w:lang w:val="en-GB"/>
        </w:rPr>
        <w:t xml:space="preserve"> Arena, ‘How European Law Became Supreme: The Making of </w:t>
      </w:r>
      <w:r w:rsidRPr="008872D0">
        <w:rPr>
          <w:rFonts w:ascii="Garamond" w:hAnsi="Garamond" w:cs="Times New Roman"/>
          <w:i/>
          <w:lang w:val="en-GB"/>
        </w:rPr>
        <w:t xml:space="preserve">Costa </w:t>
      </w:r>
      <w:r w:rsidRPr="008872D0">
        <w:rPr>
          <w:rFonts w:ascii="Garamond" w:hAnsi="Garamond" w:cs="Times New Roman"/>
          <w:lang w:val="en-GB"/>
        </w:rPr>
        <w:t xml:space="preserve">v. </w:t>
      </w:r>
      <w:r w:rsidRPr="008872D0">
        <w:rPr>
          <w:rFonts w:ascii="Garamond" w:hAnsi="Garamond" w:cs="Times New Roman"/>
          <w:i/>
          <w:lang w:val="en-GB"/>
        </w:rPr>
        <w:t>ENEL</w:t>
      </w:r>
      <w:r w:rsidRPr="008872D0">
        <w:rPr>
          <w:rFonts w:ascii="Garamond" w:hAnsi="Garamond" w:cs="Times New Roman"/>
          <w:lang w:val="en-GB"/>
        </w:rPr>
        <w:t xml:space="preserve">’, Jean Monnet Working Paper no. 5/18, 2019: </w:t>
      </w:r>
      <w:hyperlink r:id="rId18" w:history="1">
        <w:r w:rsidRPr="008872D0">
          <w:rPr>
            <w:rStyle w:val="Hyperlink"/>
            <w:rFonts w:ascii="Garamond" w:hAnsi="Garamond"/>
            <w:color w:val="auto"/>
            <w:lang w:val="en-GB"/>
          </w:rPr>
          <w:t>https://jeanmonnetprogram.org/wp-content/uploads/JMWP-05-Amedeo-Arena.pdf</w:t>
        </w:r>
      </w:hyperlink>
      <w:r w:rsidRPr="008872D0">
        <w:rPr>
          <w:rFonts w:ascii="Garamond" w:hAnsi="Garamond" w:cs="Times New Roman"/>
          <w:lang w:val="en-GB"/>
        </w:rPr>
        <w:t xml:space="preserve"> </w:t>
      </w:r>
    </w:p>
    <w:p w14:paraId="2D7E5F7C" w14:textId="77777777" w:rsidR="008872D0" w:rsidRPr="008872D0" w:rsidRDefault="008872D0" w:rsidP="008872D0">
      <w:pPr>
        <w:spacing w:line="276" w:lineRule="auto"/>
        <w:ind w:left="284" w:hanging="284"/>
        <w:jc w:val="both"/>
        <w:rPr>
          <w:rFonts w:ascii="Garamond" w:hAnsi="Garamond"/>
          <w:sz w:val="20"/>
          <w:szCs w:val="20"/>
          <w:lang w:val="en-GB"/>
        </w:rPr>
      </w:pPr>
    </w:p>
    <w:p w14:paraId="6421E6B8" w14:textId="77777777" w:rsidR="008872D0" w:rsidRPr="008872D0" w:rsidRDefault="008872D0" w:rsidP="008872D0">
      <w:pPr>
        <w:spacing w:after="0" w:line="240" w:lineRule="auto"/>
        <w:jc w:val="both"/>
        <w:rPr>
          <w:rFonts w:ascii="Garamond" w:hAnsi="Garamond"/>
          <w:b/>
          <w:color w:val="FF0000"/>
        </w:rPr>
      </w:pPr>
      <w:r w:rsidRPr="008872D0">
        <w:rPr>
          <w:rFonts w:ascii="Garamond" w:hAnsi="Garamond"/>
          <w:b/>
          <w:color w:val="FF0000"/>
        </w:rPr>
        <w:t>PLEASE COME PREPARED AND DO NOT FORGET THE SUMMARIES OF OBLIGATORY READINSG: THE REQUIREMENTS OF ATTENDANCE ARE THE SAME FOR EVERY SESSION</w:t>
      </w:r>
    </w:p>
    <w:p w14:paraId="039D1669" w14:textId="77777777" w:rsidR="008872D0" w:rsidRDefault="008872D0" w:rsidP="008872D0">
      <w:pPr>
        <w:spacing w:line="276" w:lineRule="auto"/>
        <w:jc w:val="both"/>
        <w:rPr>
          <w:rFonts w:ascii="Garamond" w:hAnsi="Garamond"/>
          <w:b/>
        </w:rPr>
      </w:pPr>
    </w:p>
    <w:p w14:paraId="34756ADD" w14:textId="77777777" w:rsidR="008872D0" w:rsidRPr="008872D0" w:rsidRDefault="008872D0" w:rsidP="008872D0">
      <w:pPr>
        <w:spacing w:line="276" w:lineRule="auto"/>
        <w:jc w:val="both"/>
        <w:rPr>
          <w:rFonts w:ascii="Garamond" w:hAnsi="Garamond"/>
          <w:b/>
        </w:rPr>
      </w:pPr>
    </w:p>
    <w:p w14:paraId="3C716D65" w14:textId="77777777" w:rsidR="008872D0" w:rsidRPr="008872D0" w:rsidRDefault="008872D0" w:rsidP="008872D0">
      <w:pPr>
        <w:pStyle w:val="ListParagraph"/>
        <w:numPr>
          <w:ilvl w:val="0"/>
          <w:numId w:val="3"/>
        </w:numPr>
        <w:spacing w:line="276" w:lineRule="auto"/>
        <w:jc w:val="both"/>
        <w:rPr>
          <w:rFonts w:ascii="Garamond" w:hAnsi="Garamond"/>
          <w:b/>
          <w:sz w:val="22"/>
          <w:szCs w:val="22"/>
          <w:lang w:val="en-US"/>
        </w:rPr>
      </w:pPr>
      <w:r w:rsidRPr="008872D0">
        <w:rPr>
          <w:rFonts w:ascii="Garamond" w:hAnsi="Garamond"/>
          <w:b/>
          <w:sz w:val="22"/>
          <w:szCs w:val="22"/>
          <w:lang w:val="en-US"/>
        </w:rPr>
        <w:lastRenderedPageBreak/>
        <w:t xml:space="preserve">History and Nature of Values in EU Law </w:t>
      </w:r>
      <w:r w:rsidRPr="008872D0">
        <w:rPr>
          <w:rFonts w:ascii="Garamond" w:hAnsi="Garamond"/>
          <w:sz w:val="22"/>
          <w:szCs w:val="22"/>
          <w:lang w:val="en-US"/>
        </w:rPr>
        <w:t>(23 November, 1.30pm)</w:t>
      </w:r>
    </w:p>
    <w:p w14:paraId="667E9ED2" w14:textId="77777777" w:rsidR="008872D0" w:rsidRPr="008872D0" w:rsidRDefault="008872D0" w:rsidP="008872D0">
      <w:pPr>
        <w:spacing w:line="276" w:lineRule="auto"/>
        <w:jc w:val="both"/>
        <w:rPr>
          <w:rFonts w:ascii="Garamond" w:hAnsi="Garamond"/>
          <w:b/>
          <w:i/>
        </w:rPr>
      </w:pPr>
      <w:r w:rsidRPr="008872D0">
        <w:rPr>
          <w:rFonts w:ascii="Garamond" w:hAnsi="Garamond"/>
          <w:b/>
          <w:i/>
        </w:rPr>
        <w:t>We scrutinize the growth of values in over the history of EU</w:t>
      </w:r>
    </w:p>
    <w:p w14:paraId="6630A718" w14:textId="77777777" w:rsidR="008872D0" w:rsidRPr="008872D0" w:rsidRDefault="008872D0" w:rsidP="008872D0">
      <w:pPr>
        <w:pStyle w:val="ListParagraph"/>
        <w:numPr>
          <w:ilvl w:val="0"/>
          <w:numId w:val="7"/>
        </w:numPr>
        <w:spacing w:line="276" w:lineRule="auto"/>
        <w:jc w:val="both"/>
        <w:rPr>
          <w:rFonts w:ascii="Garamond" w:hAnsi="Garamond"/>
          <w:sz w:val="22"/>
          <w:szCs w:val="22"/>
          <w:lang w:val="en-US"/>
        </w:rPr>
      </w:pPr>
      <w:r w:rsidRPr="008872D0">
        <w:rPr>
          <w:rFonts w:ascii="Garamond" w:hAnsi="Garamond"/>
          <w:sz w:val="22"/>
          <w:szCs w:val="22"/>
          <w:lang w:val="en-US"/>
        </w:rPr>
        <w:t xml:space="preserve">Dimitry Kochenov, ‘EU Enlargement Law: History and Recent Developments: Treaty-Custom </w:t>
      </w:r>
      <w:proofErr w:type="spellStart"/>
      <w:r w:rsidRPr="008872D0">
        <w:rPr>
          <w:rFonts w:ascii="Garamond" w:hAnsi="Garamond"/>
          <w:sz w:val="22"/>
          <w:szCs w:val="22"/>
          <w:lang w:val="en-US"/>
        </w:rPr>
        <w:t>Concubinage</w:t>
      </w:r>
      <w:proofErr w:type="spellEnd"/>
      <w:r w:rsidRPr="008872D0">
        <w:rPr>
          <w:rFonts w:ascii="Garamond" w:hAnsi="Garamond"/>
          <w:sz w:val="22"/>
          <w:szCs w:val="22"/>
          <w:lang w:val="en-US"/>
        </w:rPr>
        <w:t xml:space="preserve">?’, 9(6) </w:t>
      </w:r>
      <w:r w:rsidRPr="008872D0">
        <w:rPr>
          <w:rFonts w:ascii="Garamond" w:hAnsi="Garamond"/>
          <w:i/>
          <w:sz w:val="22"/>
          <w:szCs w:val="22"/>
          <w:lang w:val="en-US"/>
        </w:rPr>
        <w:t>European Integration online Papers</w:t>
      </w:r>
      <w:r w:rsidRPr="008872D0">
        <w:rPr>
          <w:rFonts w:ascii="Garamond" w:hAnsi="Garamond"/>
          <w:sz w:val="22"/>
          <w:szCs w:val="22"/>
          <w:lang w:val="en-US"/>
        </w:rPr>
        <w:t>, 2005, pp. 1–23:</w:t>
      </w:r>
    </w:p>
    <w:p w14:paraId="73874066" w14:textId="77777777" w:rsidR="008872D0" w:rsidRPr="008872D0" w:rsidRDefault="008872D0" w:rsidP="008872D0">
      <w:pPr>
        <w:pStyle w:val="ListParagraph"/>
        <w:spacing w:line="276" w:lineRule="auto"/>
        <w:jc w:val="both"/>
        <w:rPr>
          <w:rFonts w:ascii="Garamond" w:hAnsi="Garamond"/>
          <w:sz w:val="22"/>
          <w:szCs w:val="22"/>
          <w:lang w:val="en-US"/>
        </w:rPr>
      </w:pPr>
      <w:hyperlink r:id="rId19" w:history="1">
        <w:r w:rsidRPr="008872D0">
          <w:rPr>
            <w:rStyle w:val="Hyperlink"/>
            <w:rFonts w:ascii="Garamond" w:hAnsi="Garamond"/>
            <w:color w:val="auto"/>
            <w:sz w:val="22"/>
            <w:szCs w:val="22"/>
            <w:lang w:val="en-US"/>
          </w:rPr>
          <w:t>https://papers.ssrn.com/sol3/papers.cfm?abstract_id=704381</w:t>
        </w:r>
      </w:hyperlink>
    </w:p>
    <w:p w14:paraId="26BE6C7D" w14:textId="77777777" w:rsidR="008872D0" w:rsidRPr="008872D0" w:rsidRDefault="008872D0" w:rsidP="008872D0">
      <w:pPr>
        <w:pStyle w:val="ListParagraph"/>
        <w:spacing w:line="276" w:lineRule="auto"/>
        <w:jc w:val="both"/>
        <w:rPr>
          <w:rFonts w:ascii="Garamond" w:hAnsi="Garamond"/>
          <w:i/>
          <w:sz w:val="22"/>
          <w:szCs w:val="22"/>
          <w:lang w:val="en-US"/>
        </w:rPr>
      </w:pPr>
    </w:p>
    <w:p w14:paraId="7254AC62" w14:textId="77777777" w:rsidR="008872D0" w:rsidRPr="008872D0" w:rsidRDefault="008872D0" w:rsidP="008872D0">
      <w:pPr>
        <w:pStyle w:val="ListParagraph"/>
        <w:spacing w:line="276" w:lineRule="auto"/>
        <w:jc w:val="both"/>
        <w:rPr>
          <w:rFonts w:ascii="Garamond" w:hAnsi="Garamond"/>
          <w:i/>
          <w:sz w:val="22"/>
          <w:szCs w:val="22"/>
          <w:lang w:val="en-US"/>
        </w:rPr>
      </w:pPr>
      <w:r w:rsidRPr="008872D0">
        <w:rPr>
          <w:rFonts w:ascii="Garamond" w:hAnsi="Garamond"/>
          <w:i/>
          <w:sz w:val="22"/>
          <w:szCs w:val="22"/>
          <w:lang w:val="en-US"/>
        </w:rPr>
        <w:t>Please also pick two of the following three works:</w:t>
      </w:r>
    </w:p>
    <w:p w14:paraId="3566158D" w14:textId="77777777" w:rsidR="008872D0" w:rsidRPr="008872D0" w:rsidRDefault="008872D0" w:rsidP="008872D0">
      <w:pPr>
        <w:pStyle w:val="ListParagraph"/>
        <w:numPr>
          <w:ilvl w:val="0"/>
          <w:numId w:val="7"/>
        </w:numPr>
        <w:spacing w:line="276" w:lineRule="auto"/>
        <w:jc w:val="both"/>
        <w:rPr>
          <w:rFonts w:ascii="Garamond" w:hAnsi="Garamond"/>
          <w:sz w:val="22"/>
          <w:szCs w:val="22"/>
          <w:lang w:val="en-US"/>
        </w:rPr>
      </w:pPr>
      <w:r w:rsidRPr="008872D0">
        <w:rPr>
          <w:rFonts w:ascii="Garamond" w:hAnsi="Garamond"/>
          <w:sz w:val="22"/>
          <w:szCs w:val="22"/>
          <w:lang w:val="en-US"/>
        </w:rPr>
        <w:t xml:space="preserve">Philip </w:t>
      </w:r>
      <w:proofErr w:type="spellStart"/>
      <w:r w:rsidRPr="008872D0">
        <w:rPr>
          <w:rFonts w:ascii="Garamond" w:hAnsi="Garamond"/>
          <w:sz w:val="22"/>
          <w:szCs w:val="22"/>
          <w:lang w:val="en-US"/>
        </w:rPr>
        <w:t>Allott</w:t>
      </w:r>
      <w:proofErr w:type="spellEnd"/>
      <w:r w:rsidRPr="008872D0">
        <w:rPr>
          <w:rFonts w:ascii="Garamond" w:hAnsi="Garamond"/>
          <w:sz w:val="22"/>
          <w:szCs w:val="22"/>
          <w:lang w:val="en-US"/>
        </w:rPr>
        <w:t xml:space="preserve">, ‘The European Community Is Not the True European Community’, 100 </w:t>
      </w:r>
      <w:r w:rsidRPr="008872D0">
        <w:rPr>
          <w:rFonts w:ascii="Garamond" w:hAnsi="Garamond"/>
          <w:i/>
          <w:sz w:val="22"/>
          <w:szCs w:val="22"/>
          <w:lang w:val="en-US"/>
        </w:rPr>
        <w:t>Yale Law Journal</w:t>
      </w:r>
      <w:r w:rsidRPr="008872D0">
        <w:rPr>
          <w:rFonts w:ascii="Garamond" w:hAnsi="Garamond"/>
          <w:sz w:val="22"/>
          <w:szCs w:val="22"/>
          <w:lang w:val="en-US"/>
        </w:rPr>
        <w:t xml:space="preserve">, pp. 2485–2500: </w:t>
      </w:r>
      <w:hyperlink r:id="rId20" w:history="1">
        <w:r w:rsidRPr="008872D0">
          <w:rPr>
            <w:rStyle w:val="Hyperlink"/>
            <w:rFonts w:ascii="Garamond" w:hAnsi="Garamond"/>
            <w:color w:val="auto"/>
            <w:sz w:val="22"/>
            <w:szCs w:val="22"/>
            <w:lang w:val="en-US"/>
          </w:rPr>
          <w:t>https://digitalcommons.law.yale.edu/ylj/vol100/iss8/6/</w:t>
        </w:r>
      </w:hyperlink>
      <w:r w:rsidRPr="008872D0">
        <w:rPr>
          <w:rFonts w:ascii="Garamond" w:hAnsi="Garamond"/>
          <w:sz w:val="22"/>
          <w:szCs w:val="22"/>
          <w:lang w:val="en-US"/>
        </w:rPr>
        <w:t xml:space="preserve"> </w:t>
      </w:r>
    </w:p>
    <w:p w14:paraId="28559612" w14:textId="77777777" w:rsidR="008872D0" w:rsidRPr="008872D0" w:rsidRDefault="008872D0" w:rsidP="008872D0">
      <w:pPr>
        <w:pStyle w:val="ListParagraph"/>
        <w:numPr>
          <w:ilvl w:val="0"/>
          <w:numId w:val="7"/>
        </w:numPr>
        <w:suppressAutoHyphens w:val="0"/>
        <w:rPr>
          <w:rFonts w:ascii="Garamond" w:hAnsi="Garamond" w:cstheme="minorHAnsi"/>
          <w:sz w:val="22"/>
          <w:szCs w:val="22"/>
          <w:lang w:val="en-US"/>
        </w:rPr>
      </w:pPr>
      <w:r w:rsidRPr="008872D0">
        <w:rPr>
          <w:rFonts w:ascii="Garamond" w:hAnsi="Garamond" w:cstheme="minorHAnsi"/>
          <w:sz w:val="22"/>
          <w:szCs w:val="22"/>
          <w:lang w:val="en-US"/>
        </w:rPr>
        <w:t xml:space="preserve">J.H.H. </w:t>
      </w:r>
      <w:proofErr w:type="spellStart"/>
      <w:r w:rsidRPr="008872D0">
        <w:rPr>
          <w:rFonts w:ascii="Garamond" w:hAnsi="Garamond" w:cstheme="minorHAnsi"/>
          <w:sz w:val="22"/>
          <w:szCs w:val="22"/>
          <w:lang w:val="en-US"/>
        </w:rPr>
        <w:t>Weiler</w:t>
      </w:r>
      <w:proofErr w:type="spellEnd"/>
      <w:r w:rsidRPr="008872D0">
        <w:rPr>
          <w:rFonts w:ascii="Garamond" w:hAnsi="Garamond" w:cstheme="minorHAnsi"/>
          <w:sz w:val="22"/>
          <w:szCs w:val="22"/>
          <w:lang w:val="en-US"/>
        </w:rPr>
        <w:t xml:space="preserve">, ‘Community System: The Dual Character of </w:t>
      </w:r>
      <w:proofErr w:type="spellStart"/>
      <w:r w:rsidRPr="008872D0">
        <w:rPr>
          <w:rFonts w:ascii="Garamond" w:hAnsi="Garamond" w:cstheme="minorHAnsi"/>
          <w:sz w:val="22"/>
          <w:szCs w:val="22"/>
          <w:lang w:val="en-US"/>
        </w:rPr>
        <w:t>Supranationalism</w:t>
      </w:r>
      <w:proofErr w:type="spellEnd"/>
      <w:r w:rsidRPr="008872D0">
        <w:rPr>
          <w:rFonts w:ascii="Garamond" w:hAnsi="Garamond" w:cstheme="minorHAnsi"/>
          <w:sz w:val="22"/>
          <w:szCs w:val="22"/>
          <w:lang w:val="en-US"/>
        </w:rPr>
        <w:t xml:space="preserve">’, 1 </w:t>
      </w:r>
      <w:r w:rsidRPr="008872D0">
        <w:rPr>
          <w:rFonts w:ascii="Garamond" w:hAnsi="Garamond" w:cstheme="minorHAnsi"/>
          <w:i/>
          <w:sz w:val="22"/>
          <w:szCs w:val="22"/>
          <w:lang w:val="en-US"/>
        </w:rPr>
        <w:t>Yearbook of European Law</w:t>
      </w:r>
      <w:r w:rsidRPr="008872D0">
        <w:rPr>
          <w:rFonts w:ascii="Garamond" w:hAnsi="Garamond" w:cstheme="minorHAnsi"/>
          <w:sz w:val="22"/>
          <w:szCs w:val="22"/>
          <w:lang w:val="en-US"/>
        </w:rPr>
        <w:t xml:space="preserve">, 1981, 267–306: </w:t>
      </w:r>
      <w:hyperlink r:id="rId21" w:history="1">
        <w:r w:rsidRPr="008872D0">
          <w:rPr>
            <w:rStyle w:val="Hyperlink"/>
            <w:rFonts w:ascii="Garamond" w:hAnsi="Garamond" w:cstheme="minorHAnsi"/>
            <w:color w:val="auto"/>
            <w:sz w:val="22"/>
            <w:szCs w:val="22"/>
            <w:lang w:val="en-US"/>
          </w:rPr>
          <w:t>https://academic.oup.com/yel/article-abstract/1/1/267/1657313</w:t>
        </w:r>
      </w:hyperlink>
      <w:r w:rsidRPr="008872D0">
        <w:rPr>
          <w:rFonts w:ascii="Garamond" w:hAnsi="Garamond" w:cstheme="minorHAnsi"/>
          <w:sz w:val="22"/>
          <w:szCs w:val="22"/>
          <w:lang w:val="en-US"/>
        </w:rPr>
        <w:t xml:space="preserve"> </w:t>
      </w:r>
    </w:p>
    <w:p w14:paraId="766AEDD4" w14:textId="77777777" w:rsidR="008872D0" w:rsidRPr="008872D0" w:rsidRDefault="008872D0" w:rsidP="008872D0">
      <w:pPr>
        <w:pStyle w:val="ListParagraph"/>
        <w:numPr>
          <w:ilvl w:val="0"/>
          <w:numId w:val="7"/>
        </w:numPr>
        <w:suppressAutoHyphens w:val="0"/>
        <w:rPr>
          <w:rFonts w:ascii="Garamond" w:hAnsi="Garamond" w:cstheme="minorHAnsi"/>
          <w:sz w:val="22"/>
          <w:szCs w:val="22"/>
          <w:lang w:val="en-US"/>
        </w:rPr>
      </w:pPr>
      <w:r w:rsidRPr="008872D0">
        <w:rPr>
          <w:rFonts w:ascii="Garamond" w:hAnsi="Garamond" w:cstheme="minorHAnsi"/>
          <w:sz w:val="22"/>
          <w:szCs w:val="22"/>
          <w:lang w:val="en-US"/>
        </w:rPr>
        <w:t xml:space="preserve">Laurent Pech and Kim Lane Scheppele, ‘Illiberalism within: Rule of Law Backsliding in the EU’, </w:t>
      </w:r>
      <w:r w:rsidRPr="008872D0">
        <w:rPr>
          <w:rFonts w:ascii="Garamond" w:hAnsi="Garamond" w:cstheme="minorHAnsi"/>
          <w:i/>
          <w:sz w:val="22"/>
          <w:szCs w:val="22"/>
          <w:lang w:val="en-US"/>
        </w:rPr>
        <w:t>CYELS</w:t>
      </w:r>
      <w:r w:rsidRPr="008872D0">
        <w:rPr>
          <w:rFonts w:ascii="Garamond" w:hAnsi="Garamond" w:cstheme="minorHAnsi"/>
          <w:sz w:val="22"/>
          <w:szCs w:val="22"/>
          <w:lang w:val="en-US"/>
        </w:rPr>
        <w:t xml:space="preserve">, 2017, pp. 3–47: </w:t>
      </w:r>
      <w:hyperlink r:id="rId22" w:history="1">
        <w:r w:rsidRPr="008872D0">
          <w:rPr>
            <w:rStyle w:val="Hyperlink"/>
            <w:rFonts w:ascii="Garamond" w:hAnsi="Garamond" w:cstheme="minorHAnsi"/>
            <w:color w:val="auto"/>
            <w:sz w:val="22"/>
            <w:szCs w:val="22"/>
            <w:lang w:val="en-US"/>
          </w:rPr>
          <w:t>https://papers.ssrn.com/sol3/papers.cfm?abstract_id=3009280</w:t>
        </w:r>
      </w:hyperlink>
    </w:p>
    <w:p w14:paraId="7F32CE2E" w14:textId="77777777" w:rsidR="008872D0" w:rsidRPr="008872D0" w:rsidRDefault="008872D0" w:rsidP="008872D0">
      <w:pPr>
        <w:rPr>
          <w:rFonts w:ascii="Garamond" w:hAnsi="Garamond" w:cstheme="minorHAnsi"/>
          <w:sz w:val="20"/>
          <w:szCs w:val="20"/>
        </w:rPr>
      </w:pPr>
    </w:p>
    <w:p w14:paraId="5B1CB7C4" w14:textId="77777777" w:rsidR="008872D0" w:rsidRPr="008872D0" w:rsidRDefault="008872D0" w:rsidP="008872D0">
      <w:pPr>
        <w:ind w:left="720"/>
        <w:rPr>
          <w:rFonts w:ascii="Garamond" w:hAnsi="Garamond" w:cstheme="minorHAnsi"/>
          <w:i/>
          <w:sz w:val="20"/>
          <w:szCs w:val="20"/>
        </w:rPr>
      </w:pPr>
      <w:r w:rsidRPr="008872D0">
        <w:rPr>
          <w:rFonts w:ascii="Garamond" w:hAnsi="Garamond" w:cstheme="minorHAnsi"/>
          <w:i/>
          <w:sz w:val="20"/>
          <w:szCs w:val="20"/>
        </w:rPr>
        <w:t>To know more:</w:t>
      </w:r>
    </w:p>
    <w:p w14:paraId="77C2BA2F" w14:textId="77777777" w:rsidR="008872D0" w:rsidRPr="008872D0" w:rsidRDefault="008872D0" w:rsidP="008872D0">
      <w:pPr>
        <w:pStyle w:val="ListParagraph"/>
        <w:numPr>
          <w:ilvl w:val="0"/>
          <w:numId w:val="7"/>
        </w:numPr>
        <w:suppressAutoHyphens w:val="0"/>
        <w:jc w:val="both"/>
        <w:rPr>
          <w:rFonts w:ascii="Garamond" w:hAnsi="Garamond" w:cstheme="minorHAnsi"/>
          <w:b/>
          <w:sz w:val="20"/>
          <w:szCs w:val="20"/>
          <w:lang w:val="en-US"/>
        </w:rPr>
      </w:pPr>
      <w:r w:rsidRPr="008872D0">
        <w:rPr>
          <w:rFonts w:ascii="Garamond" w:hAnsi="Garamond"/>
          <w:sz w:val="20"/>
          <w:szCs w:val="20"/>
        </w:rPr>
        <w:t xml:space="preserve">C. O’Brien, ‘I Trade Therefore I Am: Legal Personhood in the European Union’ (2013) 50 </w:t>
      </w:r>
      <w:r w:rsidRPr="008872D0">
        <w:rPr>
          <w:rFonts w:ascii="Garamond" w:hAnsi="Garamond"/>
          <w:i/>
          <w:sz w:val="20"/>
          <w:szCs w:val="20"/>
        </w:rPr>
        <w:t>Common Market Law Review</w:t>
      </w:r>
      <w:r w:rsidRPr="008872D0">
        <w:rPr>
          <w:rFonts w:ascii="Garamond" w:hAnsi="Garamond"/>
          <w:sz w:val="20"/>
          <w:szCs w:val="20"/>
        </w:rPr>
        <w:t xml:space="preserve"> 1643.</w:t>
      </w:r>
    </w:p>
    <w:p w14:paraId="046D9111" w14:textId="77777777" w:rsidR="008872D0" w:rsidRPr="008872D0" w:rsidRDefault="008872D0" w:rsidP="008872D0">
      <w:pPr>
        <w:pStyle w:val="ListParagraph"/>
        <w:numPr>
          <w:ilvl w:val="0"/>
          <w:numId w:val="7"/>
        </w:numPr>
        <w:jc w:val="both"/>
        <w:rPr>
          <w:rFonts w:ascii="Garamond" w:hAnsi="Garamond" w:cstheme="minorHAnsi"/>
          <w:sz w:val="20"/>
          <w:szCs w:val="20"/>
          <w:lang w:val="en-US"/>
        </w:rPr>
      </w:pPr>
      <w:proofErr w:type="spellStart"/>
      <w:r w:rsidRPr="008872D0">
        <w:rPr>
          <w:rFonts w:ascii="Garamond" w:hAnsi="Garamond" w:cstheme="minorHAnsi"/>
          <w:sz w:val="20"/>
          <w:szCs w:val="20"/>
          <w:lang w:val="en-US"/>
        </w:rPr>
        <w:t>Marija</w:t>
      </w:r>
      <w:proofErr w:type="spellEnd"/>
      <w:r w:rsidRPr="008872D0">
        <w:rPr>
          <w:rFonts w:ascii="Garamond" w:hAnsi="Garamond" w:cstheme="minorHAnsi"/>
          <w:sz w:val="20"/>
          <w:szCs w:val="20"/>
          <w:lang w:val="en-US"/>
        </w:rPr>
        <w:t xml:space="preserve"> </w:t>
      </w:r>
      <w:proofErr w:type="spellStart"/>
      <w:r w:rsidRPr="008872D0">
        <w:rPr>
          <w:rFonts w:ascii="Garamond" w:hAnsi="Garamond" w:cstheme="minorHAnsi"/>
          <w:sz w:val="20"/>
          <w:szCs w:val="20"/>
          <w:lang w:val="en-US"/>
        </w:rPr>
        <w:t>Bartl</w:t>
      </w:r>
      <w:proofErr w:type="spellEnd"/>
      <w:r w:rsidRPr="008872D0">
        <w:rPr>
          <w:rFonts w:ascii="Garamond" w:hAnsi="Garamond" w:cstheme="minorHAnsi"/>
          <w:sz w:val="20"/>
          <w:szCs w:val="20"/>
          <w:lang w:val="en-US"/>
        </w:rPr>
        <w:t xml:space="preserve">, ‘Internal Market Rationality: In the Way of Reimagining the Future’, 24 </w:t>
      </w:r>
      <w:r w:rsidRPr="008872D0">
        <w:rPr>
          <w:rFonts w:ascii="Garamond" w:hAnsi="Garamond" w:cstheme="minorHAnsi"/>
          <w:i/>
          <w:sz w:val="20"/>
          <w:szCs w:val="20"/>
          <w:lang w:val="en-US"/>
        </w:rPr>
        <w:t>European Law Journal</w:t>
      </w:r>
      <w:r w:rsidRPr="008872D0">
        <w:rPr>
          <w:rFonts w:ascii="Garamond" w:hAnsi="Garamond" w:cstheme="minorHAnsi"/>
          <w:sz w:val="20"/>
          <w:szCs w:val="20"/>
          <w:lang w:val="en-US"/>
        </w:rPr>
        <w:t>, 2018.</w:t>
      </w:r>
    </w:p>
    <w:p w14:paraId="7A62F38B" w14:textId="77777777" w:rsidR="008872D0" w:rsidRPr="008872D0" w:rsidRDefault="008872D0" w:rsidP="008872D0">
      <w:pPr>
        <w:pStyle w:val="ListParagraph"/>
        <w:numPr>
          <w:ilvl w:val="0"/>
          <w:numId w:val="7"/>
        </w:numPr>
        <w:suppressAutoHyphens w:val="0"/>
        <w:rPr>
          <w:rFonts w:ascii="Garamond" w:hAnsi="Garamond" w:cstheme="minorHAnsi"/>
          <w:sz w:val="20"/>
          <w:szCs w:val="20"/>
          <w:lang w:val="en-US"/>
        </w:rPr>
      </w:pPr>
      <w:r w:rsidRPr="008872D0">
        <w:rPr>
          <w:rFonts w:ascii="Garamond" w:hAnsi="Garamond" w:cstheme="minorHAnsi"/>
          <w:sz w:val="20"/>
          <w:szCs w:val="20"/>
          <w:lang w:val="en-US"/>
        </w:rPr>
        <w:t xml:space="preserve">Marcus </w:t>
      </w:r>
      <w:proofErr w:type="spellStart"/>
      <w:r w:rsidRPr="008872D0">
        <w:rPr>
          <w:rFonts w:ascii="Garamond" w:hAnsi="Garamond" w:cstheme="minorHAnsi"/>
          <w:sz w:val="20"/>
          <w:szCs w:val="20"/>
          <w:lang w:val="en-US"/>
        </w:rPr>
        <w:t>Klamert</w:t>
      </w:r>
      <w:proofErr w:type="spellEnd"/>
      <w:r w:rsidRPr="008872D0">
        <w:rPr>
          <w:rFonts w:ascii="Garamond" w:hAnsi="Garamond" w:cstheme="minorHAnsi"/>
          <w:sz w:val="20"/>
          <w:szCs w:val="20"/>
          <w:lang w:val="en-US"/>
        </w:rPr>
        <w:t xml:space="preserve"> and Dimitry Kochenov, ‘Article 2 TEU’, in </w:t>
      </w:r>
      <w:r w:rsidRPr="008872D0">
        <w:rPr>
          <w:rFonts w:ascii="Garamond" w:hAnsi="Garamond"/>
          <w:iCs/>
          <w:sz w:val="20"/>
          <w:szCs w:val="20"/>
          <w:shd w:val="clear" w:color="auto" w:fill="FFFFFF"/>
        </w:rPr>
        <w:t xml:space="preserve">Manuel </w:t>
      </w:r>
      <w:proofErr w:type="spellStart"/>
      <w:r w:rsidRPr="008872D0">
        <w:rPr>
          <w:rFonts w:ascii="Garamond" w:hAnsi="Garamond"/>
          <w:iCs/>
          <w:sz w:val="20"/>
          <w:szCs w:val="20"/>
          <w:shd w:val="clear" w:color="auto" w:fill="FFFFFF"/>
        </w:rPr>
        <w:t>Kellerbauer</w:t>
      </w:r>
      <w:proofErr w:type="spellEnd"/>
      <w:r w:rsidRPr="008872D0">
        <w:rPr>
          <w:rFonts w:ascii="Garamond" w:hAnsi="Garamond"/>
          <w:iCs/>
          <w:sz w:val="20"/>
          <w:szCs w:val="20"/>
          <w:shd w:val="clear" w:color="auto" w:fill="FFFFFF"/>
        </w:rPr>
        <w:t xml:space="preserve">, Marcus </w:t>
      </w:r>
      <w:proofErr w:type="spellStart"/>
      <w:r w:rsidRPr="008872D0">
        <w:rPr>
          <w:rFonts w:ascii="Garamond" w:hAnsi="Garamond"/>
          <w:iCs/>
          <w:sz w:val="20"/>
          <w:szCs w:val="20"/>
          <w:shd w:val="clear" w:color="auto" w:fill="FFFFFF"/>
        </w:rPr>
        <w:t>Klamert</w:t>
      </w:r>
      <w:proofErr w:type="spellEnd"/>
      <w:r w:rsidRPr="008872D0">
        <w:rPr>
          <w:rFonts w:ascii="Garamond" w:hAnsi="Garamond"/>
          <w:iCs/>
          <w:sz w:val="20"/>
          <w:szCs w:val="20"/>
          <w:shd w:val="clear" w:color="auto" w:fill="FFFFFF"/>
        </w:rPr>
        <w:t xml:space="preserve"> and Jonathan </w:t>
      </w:r>
      <w:proofErr w:type="spellStart"/>
      <w:r w:rsidRPr="008872D0">
        <w:rPr>
          <w:rFonts w:ascii="Garamond" w:hAnsi="Garamond"/>
          <w:iCs/>
          <w:sz w:val="20"/>
          <w:szCs w:val="20"/>
          <w:shd w:val="clear" w:color="auto" w:fill="FFFFFF"/>
        </w:rPr>
        <w:t>Tomkin</w:t>
      </w:r>
      <w:proofErr w:type="spellEnd"/>
      <w:r w:rsidRPr="008872D0">
        <w:rPr>
          <w:rFonts w:ascii="Garamond" w:hAnsi="Garamond"/>
          <w:iCs/>
          <w:sz w:val="20"/>
          <w:szCs w:val="20"/>
          <w:shd w:val="clear" w:color="auto" w:fill="FFFFFF"/>
        </w:rPr>
        <w:t xml:space="preserve"> (</w:t>
      </w:r>
      <w:proofErr w:type="spellStart"/>
      <w:r w:rsidRPr="008872D0">
        <w:rPr>
          <w:rFonts w:ascii="Garamond" w:hAnsi="Garamond"/>
          <w:iCs/>
          <w:sz w:val="20"/>
          <w:szCs w:val="20"/>
          <w:shd w:val="clear" w:color="auto" w:fill="FFFFFF"/>
        </w:rPr>
        <w:t>eds</w:t>
      </w:r>
      <w:proofErr w:type="spellEnd"/>
      <w:r w:rsidRPr="008872D0">
        <w:rPr>
          <w:rFonts w:ascii="Garamond" w:hAnsi="Garamond"/>
          <w:iCs/>
          <w:sz w:val="20"/>
          <w:szCs w:val="20"/>
          <w:shd w:val="clear" w:color="auto" w:fill="FFFFFF"/>
        </w:rPr>
        <w:t>),</w:t>
      </w:r>
      <w:r w:rsidRPr="008872D0">
        <w:rPr>
          <w:rFonts w:ascii="Garamond" w:hAnsi="Garamond"/>
          <w:i/>
          <w:iCs/>
          <w:sz w:val="20"/>
          <w:szCs w:val="20"/>
          <w:shd w:val="clear" w:color="auto" w:fill="FFFFFF"/>
        </w:rPr>
        <w:t xml:space="preserve"> The Treaties and the Charter of Fundamental Rights – A Commentary, </w:t>
      </w:r>
      <w:r w:rsidRPr="008872D0">
        <w:rPr>
          <w:rFonts w:ascii="Garamond" w:hAnsi="Garamond"/>
          <w:iCs/>
          <w:sz w:val="20"/>
          <w:szCs w:val="20"/>
          <w:shd w:val="clear" w:color="auto" w:fill="FFFFFF"/>
        </w:rPr>
        <w:t xml:space="preserve">Oxford: Oxford University Press, 2019, pp. 22–30 </w:t>
      </w:r>
      <w:hyperlink r:id="rId23" w:history="1">
        <w:r w:rsidRPr="008872D0">
          <w:rPr>
            <w:rStyle w:val="Hyperlink"/>
            <w:rFonts w:ascii="Garamond" w:hAnsi="Garamond" w:cstheme="minorHAnsi"/>
            <w:color w:val="auto"/>
            <w:sz w:val="20"/>
            <w:szCs w:val="20"/>
            <w:lang w:val="en-US"/>
          </w:rPr>
          <w:t>https://papers.ssrn.com/sol3/papers.cfm?abstract_id=3383828</w:t>
        </w:r>
      </w:hyperlink>
      <w:r w:rsidRPr="008872D0">
        <w:rPr>
          <w:rFonts w:ascii="Garamond" w:hAnsi="Garamond" w:cstheme="minorHAnsi"/>
          <w:sz w:val="20"/>
          <w:szCs w:val="20"/>
          <w:lang w:val="en-US"/>
        </w:rPr>
        <w:t xml:space="preserve"> </w:t>
      </w:r>
    </w:p>
    <w:p w14:paraId="41260871" w14:textId="77777777" w:rsidR="008872D0" w:rsidRPr="008872D0" w:rsidRDefault="008872D0" w:rsidP="008872D0">
      <w:pPr>
        <w:spacing w:after="0" w:line="240" w:lineRule="auto"/>
        <w:ind w:firstLine="1440"/>
        <w:jc w:val="both"/>
        <w:rPr>
          <w:rFonts w:ascii="Garamond" w:eastAsiaTheme="minorHAnsi" w:hAnsi="Garamond"/>
        </w:rPr>
      </w:pPr>
    </w:p>
    <w:p w14:paraId="6B1EB515" w14:textId="77777777" w:rsidR="008872D0" w:rsidRPr="008872D0" w:rsidRDefault="008872D0" w:rsidP="008872D0">
      <w:pPr>
        <w:spacing w:after="0" w:line="240" w:lineRule="auto"/>
        <w:ind w:firstLine="1440"/>
        <w:jc w:val="both"/>
        <w:rPr>
          <w:rFonts w:ascii="Garamond" w:eastAsiaTheme="minorHAnsi" w:hAnsi="Garamond"/>
          <w:i/>
        </w:rPr>
      </w:pPr>
      <w:r w:rsidRPr="008872D0">
        <w:rPr>
          <w:rFonts w:ascii="Garamond" w:eastAsiaTheme="minorHAnsi" w:hAnsi="Garamond"/>
          <w:i/>
        </w:rPr>
        <w:t>Case of the week:</w:t>
      </w:r>
    </w:p>
    <w:p w14:paraId="1415E543" w14:textId="77777777" w:rsidR="008872D0" w:rsidRPr="008872D0" w:rsidRDefault="008872D0" w:rsidP="008872D0">
      <w:pPr>
        <w:spacing w:after="0" w:line="240" w:lineRule="auto"/>
        <w:ind w:firstLine="1440"/>
        <w:jc w:val="both"/>
        <w:rPr>
          <w:rFonts w:ascii="Garamond" w:hAnsi="Garamond" w:cs="Segoe UI"/>
          <w:shd w:val="clear" w:color="auto" w:fill="FFFFFF"/>
        </w:rPr>
      </w:pPr>
      <w:r w:rsidRPr="008872D0">
        <w:rPr>
          <w:rFonts w:ascii="Garamond" w:eastAsiaTheme="minorHAnsi" w:hAnsi="Garamond"/>
        </w:rPr>
        <w:t xml:space="preserve">Case C-1/58 </w:t>
      </w:r>
      <w:r w:rsidRPr="008872D0">
        <w:rPr>
          <w:rFonts w:ascii="Garamond" w:eastAsiaTheme="minorHAnsi" w:hAnsi="Garamond"/>
          <w:i/>
        </w:rPr>
        <w:t xml:space="preserve">Stork </w:t>
      </w:r>
      <w:r w:rsidRPr="008872D0">
        <w:rPr>
          <w:rFonts w:ascii="Garamond" w:hAnsi="Garamond" w:cs="Segoe UI"/>
          <w:shd w:val="clear" w:color="auto" w:fill="FFFFFF"/>
        </w:rPr>
        <w:t>ECLI</w:t>
      </w:r>
      <w:proofErr w:type="gramStart"/>
      <w:r w:rsidRPr="008872D0">
        <w:rPr>
          <w:rFonts w:ascii="Garamond" w:hAnsi="Garamond" w:cs="Segoe UI"/>
          <w:shd w:val="clear" w:color="auto" w:fill="FFFFFF"/>
        </w:rPr>
        <w:t>:EU:C:1959:4</w:t>
      </w:r>
      <w:proofErr w:type="gramEnd"/>
    </w:p>
    <w:p w14:paraId="2708EDEB" w14:textId="77777777" w:rsidR="008872D0" w:rsidRPr="008872D0" w:rsidRDefault="008872D0" w:rsidP="008872D0">
      <w:pPr>
        <w:spacing w:after="0" w:line="240" w:lineRule="auto"/>
        <w:ind w:firstLine="1440"/>
        <w:jc w:val="both"/>
        <w:rPr>
          <w:rFonts w:ascii="Garamond" w:eastAsiaTheme="minorHAnsi" w:hAnsi="Garamond"/>
        </w:rPr>
      </w:pPr>
      <w:hyperlink r:id="rId24" w:history="1">
        <w:r w:rsidRPr="008872D0">
          <w:rPr>
            <w:rStyle w:val="Hyperlink"/>
            <w:rFonts w:ascii="Garamond" w:eastAsiaTheme="minorHAnsi" w:hAnsi="Garamond"/>
            <w:color w:val="auto"/>
          </w:rPr>
          <w:t>https://eur-lex.europa.eu/legal-content/EN/TXT/?uri=CELEX%3A61958CJ0001</w:t>
        </w:r>
      </w:hyperlink>
      <w:r w:rsidRPr="008872D0">
        <w:rPr>
          <w:rFonts w:ascii="Garamond" w:eastAsiaTheme="minorHAnsi" w:hAnsi="Garamond"/>
        </w:rPr>
        <w:t xml:space="preserve"> </w:t>
      </w:r>
    </w:p>
    <w:p w14:paraId="1C9C1B27" w14:textId="77777777" w:rsidR="008872D0" w:rsidRPr="008872D0" w:rsidRDefault="008872D0" w:rsidP="008872D0">
      <w:pPr>
        <w:spacing w:line="276" w:lineRule="auto"/>
        <w:jc w:val="both"/>
        <w:rPr>
          <w:rFonts w:ascii="Garamond" w:hAnsi="Garamond"/>
          <w:b/>
        </w:rPr>
      </w:pPr>
    </w:p>
    <w:p w14:paraId="2BCA6549" w14:textId="77777777" w:rsidR="008872D0" w:rsidRPr="008872D0" w:rsidRDefault="008872D0" w:rsidP="008872D0">
      <w:pPr>
        <w:pStyle w:val="ListParagraph"/>
        <w:numPr>
          <w:ilvl w:val="0"/>
          <w:numId w:val="3"/>
        </w:numPr>
        <w:spacing w:line="276" w:lineRule="auto"/>
        <w:jc w:val="both"/>
        <w:rPr>
          <w:rFonts w:ascii="Garamond" w:hAnsi="Garamond"/>
          <w:b/>
          <w:lang w:val="en-US"/>
        </w:rPr>
      </w:pPr>
      <w:r w:rsidRPr="008872D0">
        <w:rPr>
          <w:rFonts w:ascii="Garamond" w:hAnsi="Garamond"/>
          <w:b/>
          <w:lang w:val="en-US"/>
        </w:rPr>
        <w:t xml:space="preserve">Values and the </w:t>
      </w:r>
      <w:r w:rsidRPr="008872D0">
        <w:rPr>
          <w:rFonts w:ascii="Garamond" w:hAnsi="Garamond"/>
          <w:b/>
          <w:i/>
          <w:lang w:val="en-US"/>
        </w:rPr>
        <w:t xml:space="preserve">acquis </w:t>
      </w:r>
      <w:r w:rsidRPr="008872D0">
        <w:rPr>
          <w:rFonts w:ascii="Garamond" w:hAnsi="Garamond"/>
          <w:lang w:val="en-US"/>
        </w:rPr>
        <w:t>(24 November, 1.30pm)</w:t>
      </w:r>
    </w:p>
    <w:p w14:paraId="0E9C6B41" w14:textId="77777777" w:rsidR="008872D0" w:rsidRPr="008872D0" w:rsidRDefault="008872D0" w:rsidP="008872D0">
      <w:pPr>
        <w:spacing w:line="276" w:lineRule="auto"/>
        <w:jc w:val="both"/>
        <w:rPr>
          <w:rFonts w:ascii="Garamond" w:hAnsi="Garamond"/>
          <w:b/>
          <w:i/>
          <w:sz w:val="24"/>
          <w:szCs w:val="24"/>
        </w:rPr>
      </w:pPr>
      <w:r w:rsidRPr="008872D0">
        <w:rPr>
          <w:rFonts w:ascii="Garamond" w:hAnsi="Garamond"/>
          <w:b/>
          <w:i/>
          <w:sz w:val="24"/>
          <w:szCs w:val="24"/>
        </w:rPr>
        <w:t>We dissect the Union’s engagement with values and principles as part of its law</w:t>
      </w:r>
    </w:p>
    <w:p w14:paraId="0E45659E" w14:textId="77777777" w:rsidR="008872D0" w:rsidRPr="008872D0" w:rsidRDefault="008872D0" w:rsidP="008872D0">
      <w:pPr>
        <w:pStyle w:val="ListParagraph"/>
        <w:numPr>
          <w:ilvl w:val="0"/>
          <w:numId w:val="7"/>
        </w:numPr>
        <w:spacing w:line="276" w:lineRule="auto"/>
        <w:rPr>
          <w:rFonts w:ascii="Garamond" w:hAnsi="Garamond"/>
          <w:sz w:val="22"/>
          <w:szCs w:val="22"/>
          <w:lang w:val="en-US"/>
        </w:rPr>
      </w:pPr>
      <w:r w:rsidRPr="008872D0">
        <w:rPr>
          <w:rFonts w:ascii="Garamond" w:hAnsi="Garamond"/>
          <w:sz w:val="22"/>
          <w:szCs w:val="22"/>
          <w:lang w:val="en-US"/>
        </w:rPr>
        <w:t xml:space="preserve">Dimitry Kochenov, ‘The </w:t>
      </w:r>
      <w:r w:rsidRPr="008872D0">
        <w:rPr>
          <w:rFonts w:ascii="Garamond" w:hAnsi="Garamond"/>
          <w:i/>
          <w:sz w:val="22"/>
          <w:szCs w:val="22"/>
          <w:lang w:val="en-US"/>
        </w:rPr>
        <w:t>Acquis</w:t>
      </w:r>
      <w:r w:rsidRPr="008872D0">
        <w:rPr>
          <w:rFonts w:ascii="Garamond" w:hAnsi="Garamond"/>
          <w:sz w:val="22"/>
          <w:szCs w:val="22"/>
          <w:lang w:val="en-US"/>
        </w:rPr>
        <w:t xml:space="preserve"> and Its Principles: The Enforcement of “Law” versus the Enforcement of “Values” in the European Union’, in </w:t>
      </w:r>
      <w:proofErr w:type="spellStart"/>
      <w:r w:rsidRPr="008872D0">
        <w:rPr>
          <w:rFonts w:ascii="Garamond" w:hAnsi="Garamond"/>
          <w:sz w:val="22"/>
          <w:szCs w:val="22"/>
          <w:lang w:val="en-US"/>
        </w:rPr>
        <w:t>András</w:t>
      </w:r>
      <w:proofErr w:type="spellEnd"/>
      <w:r w:rsidRPr="008872D0">
        <w:rPr>
          <w:rFonts w:ascii="Garamond" w:hAnsi="Garamond"/>
          <w:sz w:val="22"/>
          <w:szCs w:val="22"/>
          <w:lang w:val="en-US"/>
        </w:rPr>
        <w:t xml:space="preserve"> </w:t>
      </w:r>
      <w:proofErr w:type="spellStart"/>
      <w:r w:rsidRPr="008872D0">
        <w:rPr>
          <w:rFonts w:ascii="Garamond" w:hAnsi="Garamond"/>
          <w:sz w:val="22"/>
          <w:szCs w:val="22"/>
          <w:lang w:val="en-US"/>
        </w:rPr>
        <w:t>Jakab</w:t>
      </w:r>
      <w:proofErr w:type="spellEnd"/>
      <w:r w:rsidRPr="008872D0">
        <w:rPr>
          <w:rFonts w:ascii="Garamond" w:hAnsi="Garamond"/>
          <w:sz w:val="22"/>
          <w:szCs w:val="22"/>
          <w:lang w:val="en-US"/>
        </w:rPr>
        <w:t xml:space="preserve"> and Dimitry Kochenov (</w:t>
      </w:r>
      <w:proofErr w:type="spellStart"/>
      <w:r w:rsidRPr="008872D0">
        <w:rPr>
          <w:rFonts w:ascii="Garamond" w:hAnsi="Garamond"/>
          <w:sz w:val="22"/>
          <w:szCs w:val="22"/>
          <w:lang w:val="en-US"/>
        </w:rPr>
        <w:t>eds</w:t>
      </w:r>
      <w:proofErr w:type="spellEnd"/>
      <w:r w:rsidRPr="008872D0">
        <w:rPr>
          <w:rFonts w:ascii="Garamond" w:hAnsi="Garamond"/>
          <w:sz w:val="22"/>
          <w:szCs w:val="22"/>
          <w:lang w:val="en-US"/>
        </w:rPr>
        <w:t xml:space="preserve">), </w:t>
      </w:r>
      <w:r w:rsidRPr="008872D0">
        <w:rPr>
          <w:rFonts w:ascii="Garamond" w:hAnsi="Garamond"/>
          <w:i/>
          <w:sz w:val="22"/>
          <w:szCs w:val="22"/>
          <w:lang w:val="en-US"/>
        </w:rPr>
        <w:t>The Enforcement of EU Law and Values</w:t>
      </w:r>
      <w:r w:rsidRPr="008872D0">
        <w:rPr>
          <w:rFonts w:ascii="Garamond" w:hAnsi="Garamond"/>
          <w:sz w:val="22"/>
          <w:szCs w:val="22"/>
          <w:lang w:val="en-US"/>
        </w:rPr>
        <w:t xml:space="preserve">, Oxford: Oxford University Press, 2017, pp. 9–27: </w:t>
      </w:r>
      <w:hyperlink r:id="rId25" w:history="1">
        <w:r w:rsidRPr="008872D0">
          <w:rPr>
            <w:rStyle w:val="Hyperlink"/>
            <w:rFonts w:ascii="Garamond" w:hAnsi="Garamond"/>
            <w:color w:val="auto"/>
            <w:sz w:val="22"/>
            <w:szCs w:val="22"/>
            <w:lang w:val="en-US"/>
          </w:rPr>
          <w:t>https://papers.ssrn.com/sol3/papers.cfm?abstract_id=2822327</w:t>
        </w:r>
      </w:hyperlink>
      <w:r w:rsidRPr="008872D0">
        <w:rPr>
          <w:rFonts w:ascii="Garamond" w:hAnsi="Garamond"/>
          <w:sz w:val="22"/>
          <w:szCs w:val="22"/>
          <w:lang w:val="en-US"/>
        </w:rPr>
        <w:t xml:space="preserve">  </w:t>
      </w:r>
    </w:p>
    <w:p w14:paraId="175828CE" w14:textId="77777777" w:rsidR="008872D0" w:rsidRPr="008872D0" w:rsidRDefault="008872D0" w:rsidP="008872D0">
      <w:pPr>
        <w:pStyle w:val="ListParagraph"/>
        <w:spacing w:line="276" w:lineRule="auto"/>
        <w:jc w:val="both"/>
        <w:rPr>
          <w:rFonts w:ascii="Garamond" w:hAnsi="Garamond"/>
          <w:sz w:val="22"/>
          <w:szCs w:val="22"/>
          <w:lang w:val="en-US"/>
        </w:rPr>
      </w:pPr>
    </w:p>
    <w:p w14:paraId="2C22287A" w14:textId="77777777" w:rsidR="008872D0" w:rsidRPr="008872D0" w:rsidRDefault="008872D0" w:rsidP="008872D0">
      <w:pPr>
        <w:pStyle w:val="ListParagraph"/>
        <w:spacing w:line="276" w:lineRule="auto"/>
        <w:jc w:val="both"/>
        <w:rPr>
          <w:rFonts w:ascii="Garamond" w:hAnsi="Garamond"/>
          <w:i/>
          <w:sz w:val="22"/>
          <w:szCs w:val="22"/>
          <w:lang w:val="en-US"/>
        </w:rPr>
      </w:pPr>
      <w:r w:rsidRPr="008872D0">
        <w:rPr>
          <w:rFonts w:ascii="Garamond" w:hAnsi="Garamond"/>
          <w:i/>
          <w:sz w:val="22"/>
          <w:szCs w:val="22"/>
          <w:lang w:val="en-US"/>
        </w:rPr>
        <w:t>Please also pick one of the following two works. This one:</w:t>
      </w:r>
    </w:p>
    <w:p w14:paraId="3577884B" w14:textId="77777777" w:rsidR="008872D0" w:rsidRPr="008872D0" w:rsidRDefault="008872D0" w:rsidP="008872D0">
      <w:pPr>
        <w:pStyle w:val="ListParagraph"/>
        <w:numPr>
          <w:ilvl w:val="0"/>
          <w:numId w:val="7"/>
        </w:numPr>
        <w:spacing w:line="276" w:lineRule="auto"/>
        <w:jc w:val="both"/>
        <w:rPr>
          <w:rFonts w:ascii="Garamond" w:hAnsi="Garamond"/>
          <w:sz w:val="22"/>
          <w:szCs w:val="22"/>
          <w:lang w:val="en-US"/>
        </w:rPr>
      </w:pPr>
      <w:r w:rsidRPr="008872D0">
        <w:rPr>
          <w:rFonts w:ascii="Garamond" w:hAnsi="Garamond"/>
          <w:sz w:val="22"/>
          <w:szCs w:val="22"/>
          <w:lang w:val="en-US"/>
        </w:rPr>
        <w:t xml:space="preserve">Laurent Pech, ‘The Rule of Law as a Constitutional Principle of the European Union’, </w:t>
      </w:r>
      <w:r w:rsidRPr="008872D0">
        <w:rPr>
          <w:rFonts w:ascii="Garamond" w:hAnsi="Garamond"/>
          <w:i/>
          <w:sz w:val="22"/>
          <w:szCs w:val="22"/>
          <w:lang w:val="en-US"/>
        </w:rPr>
        <w:t xml:space="preserve">Jean Monnet Working Paper </w:t>
      </w:r>
      <w:r w:rsidRPr="008872D0">
        <w:rPr>
          <w:rFonts w:ascii="Garamond" w:hAnsi="Garamond"/>
          <w:sz w:val="22"/>
          <w:szCs w:val="22"/>
          <w:lang w:val="en-US"/>
        </w:rPr>
        <w:t xml:space="preserve">(NYU Law School) 04/2009: </w:t>
      </w:r>
      <w:hyperlink r:id="rId26" w:history="1">
        <w:r w:rsidRPr="008872D0">
          <w:rPr>
            <w:rStyle w:val="Hyperlink"/>
            <w:rFonts w:ascii="Garamond" w:hAnsi="Garamond"/>
            <w:color w:val="auto"/>
            <w:sz w:val="22"/>
            <w:szCs w:val="22"/>
            <w:lang w:val="en-US"/>
          </w:rPr>
          <w:t>http://www.jeanmonnetprogram.org/paper/the-rule-of-law-as-a-constitutional-principle-of-the-european-union/</w:t>
        </w:r>
      </w:hyperlink>
      <w:r w:rsidRPr="008872D0">
        <w:rPr>
          <w:rFonts w:ascii="Garamond" w:hAnsi="Garamond"/>
          <w:sz w:val="22"/>
          <w:szCs w:val="22"/>
          <w:lang w:val="en-US"/>
        </w:rPr>
        <w:t xml:space="preserve"> </w:t>
      </w:r>
    </w:p>
    <w:p w14:paraId="45B47306" w14:textId="77777777" w:rsidR="008872D0" w:rsidRPr="008872D0" w:rsidRDefault="008872D0" w:rsidP="008872D0">
      <w:pPr>
        <w:pStyle w:val="ListParagraph"/>
        <w:spacing w:line="276" w:lineRule="auto"/>
        <w:jc w:val="both"/>
        <w:rPr>
          <w:rFonts w:ascii="Garamond" w:hAnsi="Garamond"/>
          <w:sz w:val="22"/>
          <w:szCs w:val="22"/>
          <w:lang w:val="en-US"/>
        </w:rPr>
      </w:pPr>
    </w:p>
    <w:p w14:paraId="36AD757D" w14:textId="77777777" w:rsidR="008872D0" w:rsidRPr="008872D0" w:rsidRDefault="008872D0" w:rsidP="008872D0">
      <w:pPr>
        <w:pStyle w:val="ListParagraph"/>
        <w:spacing w:line="276" w:lineRule="auto"/>
        <w:jc w:val="both"/>
        <w:rPr>
          <w:rFonts w:ascii="Garamond" w:hAnsi="Garamond"/>
          <w:i/>
          <w:sz w:val="22"/>
          <w:szCs w:val="22"/>
          <w:lang w:val="en-US"/>
        </w:rPr>
      </w:pPr>
      <w:proofErr w:type="gramStart"/>
      <w:r w:rsidRPr="008872D0">
        <w:rPr>
          <w:rFonts w:ascii="Garamond" w:hAnsi="Garamond"/>
          <w:i/>
          <w:sz w:val="22"/>
          <w:szCs w:val="22"/>
          <w:lang w:val="en-US"/>
        </w:rPr>
        <w:t>or</w:t>
      </w:r>
      <w:proofErr w:type="gramEnd"/>
      <w:r w:rsidRPr="008872D0">
        <w:rPr>
          <w:rFonts w:ascii="Garamond" w:hAnsi="Garamond"/>
          <w:i/>
          <w:sz w:val="22"/>
          <w:szCs w:val="22"/>
          <w:lang w:val="en-US"/>
        </w:rPr>
        <w:t xml:space="preserve"> this one:</w:t>
      </w:r>
    </w:p>
    <w:p w14:paraId="3780FAC0" w14:textId="77777777" w:rsidR="008872D0" w:rsidRPr="008872D0" w:rsidRDefault="008872D0" w:rsidP="008872D0">
      <w:pPr>
        <w:pStyle w:val="FootnoteText"/>
        <w:numPr>
          <w:ilvl w:val="0"/>
          <w:numId w:val="7"/>
        </w:numPr>
        <w:jc w:val="both"/>
        <w:rPr>
          <w:rFonts w:ascii="Garamond" w:hAnsi="Garamond" w:cstheme="minorHAnsi"/>
          <w:sz w:val="22"/>
          <w:szCs w:val="22"/>
          <w:lang w:val="en-GB"/>
        </w:rPr>
      </w:pPr>
      <w:r w:rsidRPr="008872D0">
        <w:rPr>
          <w:rFonts w:ascii="Garamond" w:hAnsi="Garamond" w:cstheme="minorHAnsi"/>
          <w:sz w:val="22"/>
          <w:szCs w:val="22"/>
          <w:lang w:val="en-GB"/>
        </w:rPr>
        <w:t xml:space="preserve">Dimitry Kochenov, ‘Neo-Mediaeval Permutations of Personhood in Europe’, in </w:t>
      </w:r>
      <w:proofErr w:type="spellStart"/>
      <w:r w:rsidRPr="008872D0">
        <w:rPr>
          <w:rFonts w:ascii="Garamond" w:hAnsi="Garamond" w:cstheme="minorHAnsi"/>
          <w:sz w:val="22"/>
          <w:szCs w:val="22"/>
          <w:lang w:val="en-GB"/>
        </w:rPr>
        <w:t>Loïc</w:t>
      </w:r>
      <w:proofErr w:type="spellEnd"/>
      <w:r w:rsidRPr="008872D0">
        <w:rPr>
          <w:rFonts w:ascii="Garamond" w:hAnsi="Garamond" w:cstheme="minorHAnsi"/>
          <w:sz w:val="22"/>
          <w:szCs w:val="22"/>
          <w:lang w:val="en-GB"/>
        </w:rPr>
        <w:t xml:space="preserve"> </w:t>
      </w:r>
      <w:proofErr w:type="spellStart"/>
      <w:r w:rsidRPr="008872D0">
        <w:rPr>
          <w:rFonts w:ascii="Garamond" w:hAnsi="Garamond" w:cstheme="minorHAnsi"/>
          <w:sz w:val="22"/>
          <w:szCs w:val="22"/>
          <w:lang w:val="en-GB"/>
        </w:rPr>
        <w:t>Azoulai</w:t>
      </w:r>
      <w:proofErr w:type="spellEnd"/>
      <w:r w:rsidRPr="008872D0">
        <w:rPr>
          <w:rFonts w:ascii="Garamond" w:hAnsi="Garamond" w:cstheme="minorHAnsi"/>
          <w:sz w:val="22"/>
          <w:szCs w:val="22"/>
          <w:lang w:val="en-GB"/>
        </w:rPr>
        <w:t>, S</w:t>
      </w:r>
      <w:proofErr w:type="spellStart"/>
      <w:r w:rsidRPr="008872D0">
        <w:rPr>
          <w:rFonts w:ascii="Garamond" w:hAnsi="Garamond" w:cstheme="minorHAnsi"/>
          <w:sz w:val="22"/>
          <w:szCs w:val="22"/>
        </w:rPr>
        <w:t>égolène</w:t>
      </w:r>
      <w:proofErr w:type="spellEnd"/>
      <w:r w:rsidRPr="008872D0">
        <w:rPr>
          <w:rFonts w:ascii="Garamond" w:hAnsi="Garamond" w:cstheme="minorHAnsi"/>
          <w:sz w:val="22"/>
          <w:szCs w:val="22"/>
          <w:lang w:val="en-GB"/>
        </w:rPr>
        <w:t xml:space="preserve"> </w:t>
      </w:r>
      <w:proofErr w:type="spellStart"/>
      <w:r w:rsidRPr="008872D0">
        <w:rPr>
          <w:rFonts w:ascii="Garamond" w:hAnsi="Garamond" w:cstheme="minorHAnsi"/>
          <w:sz w:val="22"/>
          <w:szCs w:val="22"/>
          <w:lang w:val="en-GB"/>
        </w:rPr>
        <w:t>Barbou</w:t>
      </w:r>
      <w:proofErr w:type="spellEnd"/>
      <w:r w:rsidRPr="008872D0">
        <w:rPr>
          <w:rFonts w:ascii="Garamond" w:hAnsi="Garamond" w:cstheme="minorHAnsi"/>
          <w:sz w:val="22"/>
          <w:szCs w:val="22"/>
          <w:lang w:val="en-GB"/>
        </w:rPr>
        <w:t xml:space="preserve"> des Places and Etienne </w:t>
      </w:r>
      <w:proofErr w:type="spellStart"/>
      <w:r w:rsidRPr="008872D0">
        <w:rPr>
          <w:rFonts w:ascii="Garamond" w:hAnsi="Garamond" w:cstheme="minorHAnsi"/>
          <w:sz w:val="22"/>
          <w:szCs w:val="22"/>
          <w:lang w:val="en-GB"/>
        </w:rPr>
        <w:t>Pataut</w:t>
      </w:r>
      <w:proofErr w:type="spellEnd"/>
      <w:r w:rsidRPr="008872D0">
        <w:rPr>
          <w:rFonts w:ascii="Garamond" w:hAnsi="Garamond" w:cstheme="minorHAnsi"/>
          <w:sz w:val="22"/>
          <w:szCs w:val="22"/>
          <w:lang w:val="en-GB"/>
        </w:rPr>
        <w:t xml:space="preserve"> (eds.), </w:t>
      </w:r>
      <w:r w:rsidRPr="008872D0">
        <w:rPr>
          <w:rFonts w:ascii="Garamond" w:hAnsi="Garamond" w:cstheme="minorHAnsi"/>
          <w:i/>
          <w:iCs/>
          <w:sz w:val="22"/>
          <w:szCs w:val="22"/>
          <w:lang w:val="en-GB"/>
        </w:rPr>
        <w:t>Ideas of the Person and Personhood in European Union Law</w:t>
      </w:r>
      <w:r w:rsidRPr="008872D0">
        <w:rPr>
          <w:rFonts w:ascii="Garamond" w:hAnsi="Garamond" w:cstheme="minorHAnsi"/>
          <w:sz w:val="22"/>
          <w:szCs w:val="22"/>
          <w:lang w:val="en-GB"/>
        </w:rPr>
        <w:t xml:space="preserve"> (Oxford: Hart, 2016), 133: </w:t>
      </w:r>
    </w:p>
    <w:p w14:paraId="6A207662" w14:textId="77777777" w:rsidR="008872D0" w:rsidRPr="008872D0" w:rsidRDefault="008872D0" w:rsidP="008872D0">
      <w:pPr>
        <w:pStyle w:val="FootnoteText"/>
        <w:ind w:left="720"/>
        <w:jc w:val="both"/>
        <w:rPr>
          <w:rFonts w:ascii="Garamond" w:hAnsi="Garamond" w:cstheme="minorHAnsi"/>
          <w:sz w:val="22"/>
          <w:szCs w:val="22"/>
          <w:lang w:val="en-GB"/>
        </w:rPr>
      </w:pPr>
      <w:hyperlink r:id="rId27" w:history="1">
        <w:r w:rsidRPr="008872D0">
          <w:rPr>
            <w:rStyle w:val="Hyperlink"/>
            <w:rFonts w:ascii="Garamond" w:hAnsi="Garamond" w:cstheme="minorHAnsi"/>
            <w:color w:val="auto"/>
            <w:sz w:val="22"/>
            <w:szCs w:val="22"/>
            <w:u w:val="none"/>
            <w:lang w:val="en-GB"/>
          </w:rPr>
          <w:t>http://papers.ssrn.com/sol3/papers.cfm?abstract_id=2760968</w:t>
        </w:r>
      </w:hyperlink>
      <w:r w:rsidRPr="008872D0">
        <w:rPr>
          <w:rFonts w:ascii="Garamond" w:hAnsi="Garamond" w:cstheme="minorHAnsi"/>
          <w:sz w:val="22"/>
          <w:szCs w:val="22"/>
          <w:lang w:val="en-GB"/>
        </w:rPr>
        <w:t xml:space="preserve"> </w:t>
      </w:r>
    </w:p>
    <w:p w14:paraId="7A6A773F" w14:textId="77777777" w:rsidR="008872D0" w:rsidRDefault="008872D0" w:rsidP="008872D0">
      <w:pPr>
        <w:pStyle w:val="FootnoteText"/>
        <w:ind w:left="720"/>
        <w:jc w:val="both"/>
        <w:rPr>
          <w:rFonts w:ascii="Garamond" w:hAnsi="Garamond" w:cstheme="minorHAnsi"/>
          <w:sz w:val="22"/>
          <w:szCs w:val="22"/>
          <w:lang w:val="en-GB"/>
        </w:rPr>
      </w:pPr>
    </w:p>
    <w:p w14:paraId="153358B0" w14:textId="77777777" w:rsidR="000C6575" w:rsidRPr="008872D0" w:rsidRDefault="000C6575" w:rsidP="008872D0">
      <w:pPr>
        <w:pStyle w:val="FootnoteText"/>
        <w:ind w:left="720"/>
        <w:jc w:val="both"/>
        <w:rPr>
          <w:rFonts w:ascii="Garamond" w:hAnsi="Garamond" w:cstheme="minorHAnsi"/>
          <w:sz w:val="22"/>
          <w:szCs w:val="22"/>
          <w:lang w:val="en-GB"/>
        </w:rPr>
      </w:pPr>
    </w:p>
    <w:p w14:paraId="616DB06F" w14:textId="77777777" w:rsidR="008872D0" w:rsidRPr="008872D0" w:rsidRDefault="008872D0" w:rsidP="008872D0">
      <w:pPr>
        <w:pStyle w:val="FootnoteText"/>
        <w:ind w:left="720"/>
        <w:jc w:val="both"/>
        <w:rPr>
          <w:rFonts w:ascii="Garamond" w:hAnsi="Garamond" w:cstheme="minorHAnsi"/>
          <w:i/>
          <w:lang w:val="en-GB"/>
        </w:rPr>
      </w:pPr>
      <w:r w:rsidRPr="008872D0">
        <w:rPr>
          <w:rFonts w:ascii="Garamond" w:hAnsi="Garamond" w:cstheme="minorHAnsi"/>
          <w:i/>
          <w:lang w:val="en-GB"/>
        </w:rPr>
        <w:lastRenderedPageBreak/>
        <w:t>To know more:</w:t>
      </w:r>
    </w:p>
    <w:p w14:paraId="4816789A" w14:textId="77777777" w:rsidR="008872D0" w:rsidRPr="008872D0" w:rsidRDefault="008872D0" w:rsidP="008872D0">
      <w:pPr>
        <w:pStyle w:val="ListParagraph"/>
        <w:numPr>
          <w:ilvl w:val="0"/>
          <w:numId w:val="7"/>
        </w:numPr>
        <w:spacing w:line="276" w:lineRule="auto"/>
        <w:jc w:val="both"/>
        <w:rPr>
          <w:rFonts w:ascii="Garamond" w:hAnsi="Garamond"/>
          <w:sz w:val="20"/>
          <w:szCs w:val="20"/>
          <w:lang w:val="en-US"/>
        </w:rPr>
      </w:pPr>
      <w:r w:rsidRPr="008872D0">
        <w:rPr>
          <w:rFonts w:ascii="Garamond" w:hAnsi="Garamond"/>
          <w:sz w:val="20"/>
          <w:szCs w:val="20"/>
          <w:lang w:val="en-US"/>
        </w:rPr>
        <w:t xml:space="preserve">Gareth Davies, ‘Social Legitimacy and Purposive Power: The End, the Means and the Consent of the People’, in Dimitry Kochenov, Gráinne de Búrca and Andrew Williams (eds.), </w:t>
      </w:r>
      <w:r w:rsidRPr="008872D0">
        <w:rPr>
          <w:rFonts w:ascii="Garamond" w:hAnsi="Garamond"/>
          <w:i/>
          <w:sz w:val="20"/>
          <w:szCs w:val="20"/>
          <w:lang w:val="en-US"/>
        </w:rPr>
        <w:t xml:space="preserve">Europe’s Justice Deficit? </w:t>
      </w:r>
      <w:r w:rsidRPr="008872D0">
        <w:rPr>
          <w:rFonts w:ascii="Garamond" w:hAnsi="Garamond"/>
          <w:sz w:val="20"/>
          <w:szCs w:val="20"/>
        </w:rPr>
        <w:t>(Oxford: Hart, 2015), 259.</w:t>
      </w:r>
    </w:p>
    <w:p w14:paraId="211D8377" w14:textId="77777777" w:rsidR="008872D0" w:rsidRPr="008872D0" w:rsidRDefault="008872D0" w:rsidP="008872D0">
      <w:pPr>
        <w:pStyle w:val="ListParagraph"/>
        <w:numPr>
          <w:ilvl w:val="0"/>
          <w:numId w:val="7"/>
        </w:numPr>
        <w:jc w:val="both"/>
        <w:rPr>
          <w:rFonts w:ascii="Garamond" w:hAnsi="Garamond" w:cstheme="minorHAnsi"/>
          <w:sz w:val="20"/>
          <w:szCs w:val="20"/>
          <w:lang w:val="en-US"/>
        </w:rPr>
      </w:pPr>
      <w:r w:rsidRPr="008872D0">
        <w:rPr>
          <w:rFonts w:ascii="Garamond" w:hAnsi="Garamond" w:cstheme="minorHAnsi"/>
          <w:sz w:val="20"/>
          <w:szCs w:val="20"/>
          <w:lang w:val="en-US"/>
        </w:rPr>
        <w:t xml:space="preserve">Gustav Peebles, ‘“A Very Eden of the Innate Rights of Man”? A Marxist Look at the European Union Treaties and Case Law’, 22 </w:t>
      </w:r>
      <w:r w:rsidRPr="008872D0">
        <w:rPr>
          <w:rFonts w:ascii="Garamond" w:hAnsi="Garamond" w:cstheme="minorHAnsi"/>
          <w:i/>
          <w:sz w:val="20"/>
          <w:szCs w:val="20"/>
          <w:lang w:val="en-US"/>
        </w:rPr>
        <w:t>Law and Social Inquiry</w:t>
      </w:r>
      <w:r w:rsidRPr="008872D0">
        <w:rPr>
          <w:rFonts w:ascii="Garamond" w:hAnsi="Garamond" w:cstheme="minorHAnsi"/>
          <w:sz w:val="20"/>
          <w:szCs w:val="20"/>
          <w:lang w:val="en-US"/>
        </w:rPr>
        <w:t xml:space="preserve"> 1997, 581.</w:t>
      </w:r>
    </w:p>
    <w:p w14:paraId="044925B4" w14:textId="77777777" w:rsidR="008872D0" w:rsidRPr="008872D0" w:rsidRDefault="008872D0" w:rsidP="008872D0">
      <w:pPr>
        <w:jc w:val="both"/>
        <w:rPr>
          <w:rFonts w:ascii="Garamond" w:hAnsi="Garamond" w:cstheme="minorHAnsi"/>
        </w:rPr>
      </w:pPr>
    </w:p>
    <w:p w14:paraId="05382A15" w14:textId="77777777" w:rsidR="008872D0" w:rsidRPr="008872D0" w:rsidRDefault="008872D0" w:rsidP="008872D0">
      <w:pPr>
        <w:spacing w:after="0"/>
        <w:ind w:firstLine="1440"/>
        <w:jc w:val="both"/>
        <w:rPr>
          <w:rFonts w:ascii="Garamond" w:hAnsi="Garamond" w:cstheme="minorHAnsi"/>
          <w:i/>
        </w:rPr>
      </w:pPr>
      <w:r w:rsidRPr="008872D0">
        <w:rPr>
          <w:rFonts w:ascii="Garamond" w:hAnsi="Garamond" w:cstheme="minorHAnsi"/>
          <w:i/>
        </w:rPr>
        <w:t>Case of the week:</w:t>
      </w:r>
    </w:p>
    <w:p w14:paraId="56B32A3D" w14:textId="77777777" w:rsidR="008872D0" w:rsidRPr="008872D0" w:rsidRDefault="008872D0" w:rsidP="008872D0">
      <w:pPr>
        <w:spacing w:after="0"/>
        <w:ind w:firstLine="1440"/>
        <w:jc w:val="both"/>
        <w:rPr>
          <w:rFonts w:ascii="Garamond" w:hAnsi="Garamond"/>
          <w:bCs/>
        </w:rPr>
      </w:pPr>
      <w:r w:rsidRPr="008872D0">
        <w:rPr>
          <w:rFonts w:ascii="Garamond" w:hAnsi="Garamond" w:cstheme="minorHAnsi"/>
        </w:rPr>
        <w:t xml:space="preserve">Case C-294/83 </w:t>
      </w:r>
      <w:r w:rsidRPr="008872D0">
        <w:rPr>
          <w:rFonts w:ascii="Garamond" w:hAnsi="Garamond" w:cstheme="minorHAnsi"/>
          <w:i/>
        </w:rPr>
        <w:t>“Les Verts”</w:t>
      </w:r>
      <w:r w:rsidRPr="008872D0">
        <w:rPr>
          <w:rFonts w:ascii="Garamond" w:hAnsi="Garamond" w:cstheme="minorHAnsi"/>
        </w:rPr>
        <w:t xml:space="preserve"> </w:t>
      </w:r>
      <w:r w:rsidRPr="008872D0">
        <w:rPr>
          <w:rFonts w:ascii="Garamond" w:hAnsi="Garamond"/>
          <w:bCs/>
        </w:rPr>
        <w:t>ECLI</w:t>
      </w:r>
      <w:proofErr w:type="gramStart"/>
      <w:r w:rsidRPr="008872D0">
        <w:rPr>
          <w:rFonts w:ascii="Garamond" w:hAnsi="Garamond"/>
          <w:bCs/>
        </w:rPr>
        <w:t>:EU:C:1986:166</w:t>
      </w:r>
      <w:proofErr w:type="gramEnd"/>
    </w:p>
    <w:p w14:paraId="3268525C" w14:textId="77777777" w:rsidR="008872D0" w:rsidRPr="008872D0" w:rsidRDefault="008872D0" w:rsidP="008872D0">
      <w:pPr>
        <w:spacing w:after="0"/>
        <w:ind w:firstLine="1440"/>
        <w:jc w:val="both"/>
        <w:rPr>
          <w:rFonts w:ascii="Garamond" w:hAnsi="Garamond" w:cstheme="minorHAnsi"/>
        </w:rPr>
      </w:pPr>
      <w:hyperlink r:id="rId28" w:history="1">
        <w:r w:rsidRPr="008872D0">
          <w:rPr>
            <w:rStyle w:val="Hyperlink"/>
            <w:rFonts w:ascii="Garamond" w:hAnsi="Garamond" w:cstheme="minorHAnsi"/>
            <w:color w:val="auto"/>
          </w:rPr>
          <w:t>https://curia.europa.eu/juris/liste.jsf?language=en&amp;jur=C,T,F&amp;num=294/83&amp;td=ALL</w:t>
        </w:r>
      </w:hyperlink>
      <w:r w:rsidRPr="008872D0">
        <w:rPr>
          <w:rFonts w:ascii="Garamond" w:hAnsi="Garamond" w:cstheme="minorHAnsi"/>
        </w:rPr>
        <w:t xml:space="preserve"> </w:t>
      </w:r>
    </w:p>
    <w:p w14:paraId="672C51FC" w14:textId="77777777" w:rsidR="008872D0" w:rsidRPr="008872D0" w:rsidRDefault="008872D0" w:rsidP="008872D0">
      <w:pPr>
        <w:spacing w:line="276" w:lineRule="auto"/>
        <w:jc w:val="both"/>
        <w:rPr>
          <w:rFonts w:ascii="Garamond" w:hAnsi="Garamond"/>
          <w:sz w:val="24"/>
          <w:szCs w:val="24"/>
        </w:rPr>
      </w:pPr>
    </w:p>
    <w:p w14:paraId="2A522417" w14:textId="77777777" w:rsidR="008872D0" w:rsidRPr="008872D0" w:rsidRDefault="008872D0" w:rsidP="008872D0">
      <w:pPr>
        <w:pStyle w:val="ListParagraph"/>
        <w:numPr>
          <w:ilvl w:val="0"/>
          <w:numId w:val="3"/>
        </w:numPr>
        <w:spacing w:line="276" w:lineRule="auto"/>
        <w:jc w:val="both"/>
        <w:rPr>
          <w:rFonts w:ascii="Garamond" w:hAnsi="Garamond"/>
          <w:b/>
          <w:lang w:val="en-US"/>
        </w:rPr>
      </w:pPr>
      <w:r w:rsidRPr="008872D0">
        <w:rPr>
          <w:rFonts w:ascii="Garamond" w:hAnsi="Garamond"/>
          <w:b/>
          <w:lang w:val="en-US"/>
        </w:rPr>
        <w:t xml:space="preserve">The recent values’ revolution </w:t>
      </w:r>
      <w:r w:rsidRPr="008872D0">
        <w:rPr>
          <w:rFonts w:ascii="Garamond" w:hAnsi="Garamond"/>
          <w:lang w:val="en-US"/>
        </w:rPr>
        <w:t>(1 December, 1.30pm)</w:t>
      </w:r>
    </w:p>
    <w:p w14:paraId="2C3F3D48" w14:textId="77777777" w:rsidR="008872D0" w:rsidRPr="008872D0" w:rsidRDefault="008872D0" w:rsidP="008872D0">
      <w:pPr>
        <w:spacing w:line="276" w:lineRule="auto"/>
        <w:jc w:val="both"/>
        <w:rPr>
          <w:rFonts w:ascii="Garamond" w:hAnsi="Garamond"/>
          <w:b/>
          <w:i/>
          <w:sz w:val="24"/>
          <w:szCs w:val="24"/>
        </w:rPr>
      </w:pPr>
      <w:r w:rsidRPr="008872D0">
        <w:rPr>
          <w:rFonts w:ascii="Garamond" w:hAnsi="Garamond"/>
          <w:b/>
          <w:i/>
          <w:sz w:val="24"/>
          <w:szCs w:val="24"/>
        </w:rPr>
        <w:t>We focus of the EU’s responses to the recent values’ crisis</w:t>
      </w:r>
    </w:p>
    <w:p w14:paraId="60BD3D15" w14:textId="77777777" w:rsidR="008872D0" w:rsidRPr="008872D0" w:rsidRDefault="008872D0" w:rsidP="008872D0">
      <w:pPr>
        <w:pStyle w:val="ListParagraph"/>
        <w:suppressAutoHyphens w:val="0"/>
        <w:rPr>
          <w:rStyle w:val="outputecliaff"/>
          <w:rFonts w:ascii="Garamond" w:hAnsi="Garamond" w:cstheme="minorHAnsi"/>
          <w:i/>
          <w:sz w:val="22"/>
          <w:szCs w:val="22"/>
          <w:lang w:val="en-US"/>
        </w:rPr>
      </w:pPr>
      <w:r w:rsidRPr="008872D0">
        <w:rPr>
          <w:rStyle w:val="outputecliaff"/>
          <w:rFonts w:ascii="Garamond" w:hAnsi="Garamond" w:cstheme="minorHAnsi"/>
          <w:i/>
          <w:sz w:val="22"/>
          <w:szCs w:val="22"/>
          <w:lang w:val="en-US"/>
        </w:rPr>
        <w:t>Please read one of the following two works. This one:</w:t>
      </w:r>
    </w:p>
    <w:p w14:paraId="56DD2E16" w14:textId="77777777" w:rsidR="008872D0" w:rsidRPr="008872D0" w:rsidRDefault="008872D0" w:rsidP="008872D0">
      <w:pPr>
        <w:pStyle w:val="ListParagraph"/>
        <w:numPr>
          <w:ilvl w:val="0"/>
          <w:numId w:val="7"/>
        </w:numPr>
        <w:suppressAutoHyphens w:val="0"/>
        <w:rPr>
          <w:rStyle w:val="outputecliaff"/>
          <w:rFonts w:ascii="Garamond" w:hAnsi="Garamond" w:cstheme="minorHAnsi"/>
          <w:sz w:val="22"/>
          <w:szCs w:val="22"/>
          <w:lang w:val="en-US"/>
        </w:rPr>
      </w:pPr>
      <w:r w:rsidRPr="008872D0">
        <w:rPr>
          <w:rStyle w:val="outputecliaff"/>
          <w:rFonts w:ascii="Garamond" w:hAnsi="Garamond" w:cstheme="minorHAnsi"/>
          <w:sz w:val="22"/>
          <w:szCs w:val="22"/>
          <w:lang w:val="en-US"/>
        </w:rPr>
        <w:t xml:space="preserve">Paul </w:t>
      </w:r>
      <w:proofErr w:type="spellStart"/>
      <w:r w:rsidRPr="008872D0">
        <w:rPr>
          <w:rStyle w:val="outputecliaff"/>
          <w:rFonts w:ascii="Garamond" w:hAnsi="Garamond" w:cstheme="minorHAnsi"/>
          <w:sz w:val="22"/>
          <w:szCs w:val="22"/>
          <w:lang w:val="en-US"/>
        </w:rPr>
        <w:t>Blokker</w:t>
      </w:r>
      <w:proofErr w:type="spellEnd"/>
      <w:r w:rsidRPr="008872D0">
        <w:rPr>
          <w:rStyle w:val="outputecliaff"/>
          <w:rFonts w:ascii="Garamond" w:hAnsi="Garamond" w:cstheme="minorHAnsi"/>
          <w:sz w:val="22"/>
          <w:szCs w:val="22"/>
          <w:lang w:val="en-US"/>
        </w:rPr>
        <w:t xml:space="preserve">, ‘The Democracy and Rule of Law Crises in the European Union’, </w:t>
      </w:r>
      <w:r w:rsidRPr="008872D0">
        <w:rPr>
          <w:rStyle w:val="outputecliaff"/>
          <w:rFonts w:ascii="Garamond" w:hAnsi="Garamond" w:cstheme="minorHAnsi"/>
          <w:i/>
          <w:sz w:val="22"/>
          <w:szCs w:val="22"/>
          <w:lang w:val="en-US"/>
        </w:rPr>
        <w:t xml:space="preserve">RECONNECT </w:t>
      </w:r>
      <w:proofErr w:type="spellStart"/>
      <w:r w:rsidRPr="008872D0">
        <w:rPr>
          <w:rStyle w:val="outputecliaff"/>
          <w:rFonts w:ascii="Garamond" w:hAnsi="Garamond" w:cstheme="minorHAnsi"/>
          <w:i/>
          <w:sz w:val="22"/>
          <w:szCs w:val="22"/>
          <w:lang w:val="en-US"/>
        </w:rPr>
        <w:t>Deliveerable</w:t>
      </w:r>
      <w:proofErr w:type="spellEnd"/>
      <w:r w:rsidRPr="008872D0">
        <w:rPr>
          <w:rStyle w:val="outputecliaff"/>
          <w:rFonts w:ascii="Garamond" w:hAnsi="Garamond" w:cstheme="minorHAnsi"/>
          <w:i/>
          <w:sz w:val="22"/>
          <w:szCs w:val="22"/>
          <w:lang w:val="en-US"/>
        </w:rPr>
        <w:t xml:space="preserve"> 14.1 </w:t>
      </w:r>
      <w:r w:rsidRPr="008872D0">
        <w:rPr>
          <w:rStyle w:val="outputecliaff"/>
          <w:rFonts w:ascii="Garamond" w:hAnsi="Garamond" w:cstheme="minorHAnsi"/>
          <w:sz w:val="22"/>
          <w:szCs w:val="22"/>
          <w:lang w:val="en-US"/>
        </w:rPr>
        <w:t xml:space="preserve">(Leuven), 2021, pp. 1–62: </w:t>
      </w:r>
      <w:hyperlink r:id="rId29" w:history="1">
        <w:r w:rsidRPr="008872D0">
          <w:rPr>
            <w:rStyle w:val="Hyperlink"/>
            <w:rFonts w:ascii="Garamond" w:hAnsi="Garamond" w:cstheme="minorHAnsi"/>
            <w:color w:val="auto"/>
            <w:sz w:val="22"/>
            <w:szCs w:val="22"/>
            <w:lang w:val="en-US"/>
          </w:rPr>
          <w:t>https://reconnect-europe.eu/wp-content/uploads/2021/07/D14.1_web.</w:t>
        </w:r>
        <w:r w:rsidRPr="008872D0">
          <w:rPr>
            <w:rStyle w:val="Hyperlink"/>
            <w:rFonts w:ascii="Garamond" w:hAnsi="Garamond" w:cstheme="minorHAnsi"/>
            <w:color w:val="auto"/>
            <w:sz w:val="22"/>
            <w:szCs w:val="22"/>
            <w:lang w:val="en-US"/>
          </w:rPr>
          <w:t>p</w:t>
        </w:r>
        <w:r w:rsidRPr="008872D0">
          <w:rPr>
            <w:rStyle w:val="Hyperlink"/>
            <w:rFonts w:ascii="Garamond" w:hAnsi="Garamond" w:cstheme="minorHAnsi"/>
            <w:color w:val="auto"/>
            <w:sz w:val="22"/>
            <w:szCs w:val="22"/>
            <w:lang w:val="en-US"/>
          </w:rPr>
          <w:t>df</w:t>
        </w:r>
      </w:hyperlink>
      <w:r w:rsidRPr="008872D0">
        <w:rPr>
          <w:rStyle w:val="outputecliaff"/>
          <w:rFonts w:ascii="Garamond" w:hAnsi="Garamond" w:cstheme="minorHAnsi"/>
          <w:sz w:val="22"/>
          <w:szCs w:val="22"/>
          <w:lang w:val="en-US"/>
        </w:rPr>
        <w:t xml:space="preserve"> </w:t>
      </w:r>
    </w:p>
    <w:p w14:paraId="7E3DEB90" w14:textId="77777777" w:rsidR="008872D0" w:rsidRPr="008872D0" w:rsidRDefault="008872D0" w:rsidP="008872D0">
      <w:pPr>
        <w:pStyle w:val="ListParagraph"/>
        <w:suppressAutoHyphens w:val="0"/>
        <w:rPr>
          <w:rStyle w:val="outputecliaff"/>
          <w:rFonts w:ascii="Garamond" w:hAnsi="Garamond" w:cstheme="minorHAnsi"/>
          <w:sz w:val="22"/>
          <w:szCs w:val="22"/>
          <w:lang w:val="en-US"/>
        </w:rPr>
      </w:pPr>
    </w:p>
    <w:p w14:paraId="2882F0E5" w14:textId="77777777" w:rsidR="008872D0" w:rsidRPr="008872D0" w:rsidRDefault="008872D0" w:rsidP="008872D0">
      <w:pPr>
        <w:pStyle w:val="ListParagraph"/>
        <w:suppressAutoHyphens w:val="0"/>
        <w:rPr>
          <w:rStyle w:val="outputecliaff"/>
          <w:rFonts w:ascii="Garamond" w:hAnsi="Garamond" w:cstheme="minorHAnsi"/>
          <w:i/>
          <w:sz w:val="22"/>
          <w:szCs w:val="22"/>
          <w:lang w:val="en-US"/>
        </w:rPr>
      </w:pPr>
      <w:proofErr w:type="gramStart"/>
      <w:r w:rsidRPr="008872D0">
        <w:rPr>
          <w:rStyle w:val="outputecliaff"/>
          <w:rFonts w:ascii="Garamond" w:hAnsi="Garamond" w:cstheme="minorHAnsi"/>
          <w:i/>
          <w:sz w:val="22"/>
          <w:szCs w:val="22"/>
          <w:lang w:val="en-US"/>
        </w:rPr>
        <w:t>or</w:t>
      </w:r>
      <w:proofErr w:type="gramEnd"/>
      <w:r w:rsidRPr="008872D0">
        <w:rPr>
          <w:rStyle w:val="outputecliaff"/>
          <w:rFonts w:ascii="Garamond" w:hAnsi="Garamond" w:cstheme="minorHAnsi"/>
          <w:i/>
          <w:sz w:val="22"/>
          <w:szCs w:val="22"/>
          <w:lang w:val="en-US"/>
        </w:rPr>
        <w:t xml:space="preserve"> this one:</w:t>
      </w:r>
    </w:p>
    <w:p w14:paraId="42604527" w14:textId="77777777" w:rsidR="008872D0" w:rsidRPr="008872D0" w:rsidRDefault="008872D0" w:rsidP="008872D0">
      <w:pPr>
        <w:pStyle w:val="ListParagraph"/>
        <w:numPr>
          <w:ilvl w:val="0"/>
          <w:numId w:val="7"/>
        </w:numPr>
        <w:suppressAutoHyphens w:val="0"/>
        <w:rPr>
          <w:rStyle w:val="Hyperlink"/>
          <w:rFonts w:ascii="Garamond" w:hAnsi="Garamond" w:cstheme="minorHAnsi"/>
          <w:color w:val="auto"/>
          <w:sz w:val="20"/>
          <w:szCs w:val="20"/>
          <w:u w:val="none"/>
          <w:lang w:val="en-US"/>
        </w:rPr>
      </w:pPr>
      <w:r w:rsidRPr="008872D0">
        <w:rPr>
          <w:rStyle w:val="outputecliaff"/>
          <w:rFonts w:ascii="Garamond" w:hAnsi="Garamond" w:cstheme="minorHAnsi"/>
          <w:sz w:val="22"/>
          <w:szCs w:val="22"/>
          <w:lang w:val="en-US"/>
        </w:rPr>
        <w:t xml:space="preserve">Dimitry Kochenov and Petra </w:t>
      </w:r>
      <w:proofErr w:type="spellStart"/>
      <w:r w:rsidRPr="008872D0">
        <w:rPr>
          <w:rStyle w:val="outputecliaff"/>
          <w:rFonts w:ascii="Garamond" w:hAnsi="Garamond" w:cstheme="minorHAnsi"/>
          <w:sz w:val="22"/>
          <w:szCs w:val="22"/>
          <w:lang w:val="en-US"/>
        </w:rPr>
        <w:t>Bárd</w:t>
      </w:r>
      <w:proofErr w:type="spellEnd"/>
      <w:r w:rsidRPr="008872D0">
        <w:rPr>
          <w:rStyle w:val="outputecliaff"/>
          <w:rFonts w:ascii="Garamond" w:hAnsi="Garamond" w:cstheme="minorHAnsi"/>
          <w:sz w:val="22"/>
          <w:szCs w:val="22"/>
          <w:lang w:val="en-US"/>
        </w:rPr>
        <w:t xml:space="preserve">, ‘The Last Soldier Standing? Courts vs. Politicians and the Rule of Law Crisis in the New Member States of the EU’, 1 </w:t>
      </w:r>
      <w:r w:rsidRPr="008872D0">
        <w:rPr>
          <w:rStyle w:val="outputecliaff"/>
          <w:rFonts w:ascii="Garamond" w:hAnsi="Garamond" w:cstheme="minorHAnsi"/>
          <w:i/>
          <w:sz w:val="22"/>
          <w:szCs w:val="22"/>
          <w:lang w:val="en-US"/>
        </w:rPr>
        <w:t>European Yearbook of Constitutional Law</w:t>
      </w:r>
      <w:r w:rsidRPr="008872D0">
        <w:rPr>
          <w:rStyle w:val="outputecliaff"/>
          <w:rFonts w:ascii="Garamond" w:hAnsi="Garamond" w:cstheme="minorHAnsi"/>
          <w:sz w:val="22"/>
          <w:szCs w:val="22"/>
          <w:lang w:val="en-US"/>
        </w:rPr>
        <w:t xml:space="preserve">, 2019, pp. 243–287: </w:t>
      </w:r>
      <w:hyperlink r:id="rId30" w:history="1">
        <w:r w:rsidRPr="008872D0">
          <w:rPr>
            <w:rStyle w:val="Hyperlink"/>
            <w:rFonts w:ascii="Garamond" w:hAnsi="Garamond" w:cstheme="minorHAnsi"/>
            <w:color w:val="auto"/>
            <w:sz w:val="22"/>
            <w:szCs w:val="22"/>
            <w:lang w:val="en-US"/>
          </w:rPr>
          <w:t>https://papers.ssrn.com/sol3/papers.cfm?abstract_id=3716760</w:t>
        </w:r>
      </w:hyperlink>
    </w:p>
    <w:p w14:paraId="0249B958" w14:textId="77777777" w:rsidR="008872D0" w:rsidRPr="008872D0" w:rsidRDefault="008872D0" w:rsidP="008872D0">
      <w:pPr>
        <w:pStyle w:val="ListParagraph"/>
        <w:suppressAutoHyphens w:val="0"/>
        <w:rPr>
          <w:rStyle w:val="outputecliaff"/>
          <w:rFonts w:ascii="Garamond" w:hAnsi="Garamond" w:cstheme="minorHAnsi"/>
          <w:sz w:val="20"/>
          <w:szCs w:val="20"/>
          <w:lang w:val="en-US"/>
        </w:rPr>
      </w:pPr>
    </w:p>
    <w:p w14:paraId="61582614" w14:textId="77777777" w:rsidR="008872D0" w:rsidRPr="008872D0" w:rsidRDefault="008872D0" w:rsidP="008872D0">
      <w:pPr>
        <w:ind w:firstLine="360"/>
        <w:rPr>
          <w:rStyle w:val="outputecliaff"/>
          <w:rFonts w:ascii="Garamond" w:hAnsi="Garamond" w:cstheme="minorHAnsi"/>
          <w:i/>
          <w:sz w:val="20"/>
          <w:szCs w:val="20"/>
        </w:rPr>
      </w:pPr>
      <w:r w:rsidRPr="008872D0">
        <w:rPr>
          <w:rStyle w:val="outputecliaff"/>
          <w:rFonts w:ascii="Garamond" w:hAnsi="Garamond" w:cstheme="minorHAnsi"/>
          <w:i/>
          <w:sz w:val="20"/>
          <w:szCs w:val="20"/>
        </w:rPr>
        <w:t>To know more (in meticulous detail):</w:t>
      </w:r>
    </w:p>
    <w:p w14:paraId="0DB9C78E" w14:textId="77777777" w:rsidR="008872D0" w:rsidRPr="008872D0" w:rsidRDefault="008872D0" w:rsidP="008872D0">
      <w:pPr>
        <w:pStyle w:val="ListParagraph"/>
        <w:numPr>
          <w:ilvl w:val="0"/>
          <w:numId w:val="7"/>
        </w:numPr>
        <w:suppressAutoHyphens w:val="0"/>
        <w:rPr>
          <w:rStyle w:val="outputecliaff"/>
          <w:rFonts w:ascii="Garamond" w:hAnsi="Garamond" w:cstheme="minorHAnsi"/>
          <w:sz w:val="20"/>
          <w:szCs w:val="20"/>
          <w:lang w:val="en-US"/>
        </w:rPr>
      </w:pPr>
      <w:r w:rsidRPr="008872D0">
        <w:rPr>
          <w:rStyle w:val="outputecliaff"/>
          <w:rFonts w:ascii="Garamond" w:hAnsi="Garamond" w:cstheme="minorHAnsi"/>
          <w:sz w:val="20"/>
          <w:szCs w:val="20"/>
          <w:lang w:val="en-US"/>
        </w:rPr>
        <w:t xml:space="preserve">Laurent Pech and Dimitry Kochenov, ‘Respect for the Rule of Law in the Case-Law of the European Court of Justice’, SIEPS (Stockholm), 2021: </w:t>
      </w:r>
      <w:hyperlink r:id="rId31" w:history="1">
        <w:r w:rsidRPr="008872D0">
          <w:rPr>
            <w:rStyle w:val="Hyperlink"/>
            <w:rFonts w:ascii="Garamond" w:hAnsi="Garamond" w:cstheme="minorHAnsi"/>
            <w:color w:val="auto"/>
            <w:sz w:val="20"/>
            <w:szCs w:val="20"/>
            <w:lang w:val="en-US"/>
          </w:rPr>
          <w:t>https://papers.ssrn.com/sol3/papers.cfm?abstract_id=3850308</w:t>
        </w:r>
      </w:hyperlink>
      <w:r w:rsidRPr="008872D0">
        <w:rPr>
          <w:rStyle w:val="outputecliaff"/>
          <w:rFonts w:ascii="Garamond" w:hAnsi="Garamond" w:cstheme="minorHAnsi"/>
          <w:sz w:val="20"/>
          <w:szCs w:val="20"/>
          <w:lang w:val="en-US"/>
        </w:rPr>
        <w:t xml:space="preserve">  </w:t>
      </w:r>
    </w:p>
    <w:p w14:paraId="2B29477D" w14:textId="77777777" w:rsidR="008872D0" w:rsidRPr="008872D0" w:rsidRDefault="008872D0" w:rsidP="008872D0">
      <w:pPr>
        <w:pStyle w:val="ListParagraph"/>
        <w:numPr>
          <w:ilvl w:val="0"/>
          <w:numId w:val="7"/>
        </w:numPr>
        <w:suppressAutoHyphens w:val="0"/>
        <w:rPr>
          <w:rFonts w:ascii="Garamond" w:hAnsi="Garamond" w:cstheme="minorHAnsi"/>
          <w:sz w:val="20"/>
          <w:szCs w:val="20"/>
          <w:lang w:val="en-US"/>
        </w:rPr>
      </w:pPr>
      <w:r w:rsidRPr="008872D0">
        <w:rPr>
          <w:rFonts w:ascii="Garamond" w:eastAsia="Times New Roman" w:hAnsi="Garamond"/>
          <w:sz w:val="20"/>
          <w:szCs w:val="20"/>
        </w:rPr>
        <w:t xml:space="preserve">Tomasz </w:t>
      </w:r>
      <w:proofErr w:type="spellStart"/>
      <w:r w:rsidRPr="008872D0">
        <w:rPr>
          <w:rFonts w:ascii="Garamond" w:eastAsia="Times New Roman" w:hAnsi="Garamond"/>
          <w:sz w:val="20"/>
          <w:szCs w:val="20"/>
        </w:rPr>
        <w:t>Koncewicz</w:t>
      </w:r>
      <w:proofErr w:type="spellEnd"/>
      <w:r w:rsidRPr="008872D0">
        <w:rPr>
          <w:rFonts w:ascii="Garamond" w:eastAsia="Times New Roman" w:hAnsi="Garamond"/>
          <w:sz w:val="20"/>
          <w:szCs w:val="20"/>
        </w:rPr>
        <w:t xml:space="preserve">, ‘The Supranational Rule of Law as First Principle of the European Public Space – On the Journey in Ever Closer Union among the Peoples of Europe in Flux’ (2020) 5 </w:t>
      </w:r>
      <w:proofErr w:type="spellStart"/>
      <w:r w:rsidRPr="008872D0">
        <w:rPr>
          <w:rFonts w:ascii="Garamond" w:eastAsia="Times New Roman" w:hAnsi="Garamond"/>
          <w:i/>
          <w:sz w:val="20"/>
          <w:szCs w:val="20"/>
        </w:rPr>
        <w:t>Palestra</w:t>
      </w:r>
      <w:proofErr w:type="spellEnd"/>
      <w:r w:rsidRPr="008872D0">
        <w:rPr>
          <w:rFonts w:ascii="Garamond" w:eastAsia="Times New Roman" w:hAnsi="Garamond"/>
          <w:sz w:val="20"/>
          <w:szCs w:val="20"/>
        </w:rPr>
        <w:t xml:space="preserve"> 167; </w:t>
      </w:r>
    </w:p>
    <w:p w14:paraId="69A84306" w14:textId="77777777" w:rsidR="008872D0" w:rsidRPr="008872D0" w:rsidRDefault="008872D0" w:rsidP="008872D0">
      <w:pPr>
        <w:pStyle w:val="ListParagraph"/>
        <w:numPr>
          <w:ilvl w:val="0"/>
          <w:numId w:val="7"/>
        </w:numPr>
        <w:suppressAutoHyphens w:val="0"/>
        <w:rPr>
          <w:rStyle w:val="outputecliaff"/>
          <w:rFonts w:ascii="Garamond" w:hAnsi="Garamond" w:cstheme="minorHAnsi"/>
          <w:sz w:val="20"/>
          <w:szCs w:val="20"/>
          <w:lang w:val="en-US"/>
        </w:rPr>
      </w:pPr>
      <w:r w:rsidRPr="008872D0">
        <w:rPr>
          <w:rFonts w:ascii="Garamond" w:eastAsia="Times New Roman" w:hAnsi="Garamond"/>
          <w:sz w:val="20"/>
          <w:szCs w:val="20"/>
        </w:rPr>
        <w:t xml:space="preserve">Kim Lane Scheppele, Dimitry Kochenov and Barbara Grabowska-Moroz, ‘EU Values Are Law, after All’ (2020) 39 </w:t>
      </w:r>
      <w:r w:rsidRPr="008872D0">
        <w:rPr>
          <w:rFonts w:ascii="Garamond" w:eastAsia="Times New Roman" w:hAnsi="Garamond"/>
          <w:i/>
          <w:sz w:val="20"/>
          <w:szCs w:val="20"/>
        </w:rPr>
        <w:t xml:space="preserve">Yearbook of </w:t>
      </w:r>
      <w:r w:rsidRPr="008872D0">
        <w:rPr>
          <w:rFonts w:ascii="Garamond" w:eastAsia="Times New Roman" w:hAnsi="Garamond"/>
          <w:i/>
          <w:iCs/>
          <w:sz w:val="20"/>
          <w:szCs w:val="20"/>
        </w:rPr>
        <w:t>European</w:t>
      </w:r>
      <w:r w:rsidRPr="008872D0">
        <w:rPr>
          <w:rFonts w:ascii="Garamond" w:eastAsia="Times New Roman" w:hAnsi="Garamond"/>
          <w:i/>
          <w:sz w:val="20"/>
          <w:szCs w:val="20"/>
        </w:rPr>
        <w:t xml:space="preserve"> Law</w:t>
      </w:r>
      <w:r w:rsidRPr="008872D0">
        <w:rPr>
          <w:rFonts w:ascii="Garamond" w:eastAsia="Times New Roman" w:hAnsi="Garamond"/>
          <w:sz w:val="20"/>
          <w:szCs w:val="20"/>
        </w:rPr>
        <w:t xml:space="preserve"> 3–121: </w:t>
      </w:r>
      <w:hyperlink r:id="rId32" w:history="1">
        <w:r w:rsidRPr="008872D0">
          <w:rPr>
            <w:rStyle w:val="Hyperlink"/>
            <w:rFonts w:ascii="Garamond" w:eastAsia="Times New Roman" w:hAnsi="Garamond"/>
            <w:color w:val="auto"/>
            <w:sz w:val="20"/>
            <w:szCs w:val="20"/>
          </w:rPr>
          <w:t>https://academic.oup.com/yel/article/doi/10.1093/yel/yeaa012/6064852?searchresult=1</w:t>
        </w:r>
      </w:hyperlink>
      <w:r w:rsidRPr="008872D0">
        <w:rPr>
          <w:rFonts w:ascii="Garamond" w:eastAsia="Times New Roman" w:hAnsi="Garamond"/>
          <w:sz w:val="20"/>
          <w:szCs w:val="20"/>
        </w:rPr>
        <w:t xml:space="preserve"> </w:t>
      </w:r>
    </w:p>
    <w:p w14:paraId="77203B5B" w14:textId="77777777" w:rsidR="008872D0" w:rsidRPr="008872D0" w:rsidRDefault="008872D0" w:rsidP="008872D0">
      <w:pPr>
        <w:spacing w:after="0" w:line="276" w:lineRule="auto"/>
        <w:ind w:left="288" w:hanging="284"/>
        <w:jc w:val="both"/>
        <w:rPr>
          <w:rFonts w:ascii="Garamond" w:hAnsi="Garamond"/>
        </w:rPr>
      </w:pPr>
    </w:p>
    <w:p w14:paraId="2A920DC4" w14:textId="77777777" w:rsidR="008872D0" w:rsidRPr="008872D0" w:rsidRDefault="008872D0" w:rsidP="008872D0">
      <w:pPr>
        <w:spacing w:after="0" w:line="276" w:lineRule="auto"/>
        <w:ind w:left="288" w:firstLine="1156"/>
        <w:jc w:val="both"/>
        <w:rPr>
          <w:rFonts w:ascii="Garamond" w:hAnsi="Garamond"/>
          <w:i/>
        </w:rPr>
      </w:pPr>
      <w:r w:rsidRPr="008872D0">
        <w:rPr>
          <w:rFonts w:ascii="Garamond" w:hAnsi="Garamond"/>
          <w:i/>
        </w:rPr>
        <w:t>Case of the week:</w:t>
      </w:r>
    </w:p>
    <w:p w14:paraId="4026EDD9" w14:textId="77777777" w:rsidR="008872D0" w:rsidRPr="008872D0" w:rsidRDefault="008872D0" w:rsidP="008872D0">
      <w:pPr>
        <w:spacing w:after="0" w:line="276" w:lineRule="auto"/>
        <w:ind w:left="288" w:firstLine="1156"/>
        <w:jc w:val="both"/>
        <w:rPr>
          <w:rFonts w:ascii="Garamond" w:hAnsi="Garamond"/>
        </w:rPr>
      </w:pPr>
      <w:r w:rsidRPr="008872D0">
        <w:rPr>
          <w:rFonts w:ascii="Garamond" w:hAnsi="Garamond"/>
        </w:rPr>
        <w:t xml:space="preserve">Case C-64/16 </w:t>
      </w:r>
      <w:r w:rsidRPr="008872D0">
        <w:rPr>
          <w:rFonts w:ascii="Garamond" w:hAnsi="Garamond"/>
          <w:i/>
        </w:rPr>
        <w:t xml:space="preserve">Portuguese Judges </w:t>
      </w:r>
      <w:r w:rsidRPr="008872D0">
        <w:rPr>
          <w:rFonts w:ascii="Garamond" w:hAnsi="Garamond"/>
        </w:rPr>
        <w:t>ECLI</w:t>
      </w:r>
      <w:proofErr w:type="gramStart"/>
      <w:r w:rsidRPr="008872D0">
        <w:rPr>
          <w:rFonts w:ascii="Garamond" w:hAnsi="Garamond"/>
        </w:rPr>
        <w:t>:EU:C:2018:117</w:t>
      </w:r>
      <w:proofErr w:type="gramEnd"/>
    </w:p>
    <w:p w14:paraId="307F68E9" w14:textId="77777777" w:rsidR="008872D0" w:rsidRPr="008872D0" w:rsidRDefault="008872D0" w:rsidP="008872D0">
      <w:pPr>
        <w:spacing w:after="0" w:line="276" w:lineRule="auto"/>
        <w:ind w:left="288" w:firstLine="1156"/>
        <w:jc w:val="both"/>
        <w:rPr>
          <w:rFonts w:ascii="Garamond" w:hAnsi="Garamond"/>
          <w:i/>
        </w:rPr>
      </w:pPr>
      <w:hyperlink r:id="rId33" w:history="1">
        <w:r w:rsidRPr="008872D0">
          <w:rPr>
            <w:rStyle w:val="Hyperlink"/>
            <w:rFonts w:ascii="Garamond" w:hAnsi="Garamond"/>
            <w:i/>
            <w:color w:val="auto"/>
          </w:rPr>
          <w:t>https://curia.europa.eu/juris/document/document.jsf?text=&amp;docid=199682&amp;doclang=EN</w:t>
        </w:r>
      </w:hyperlink>
      <w:r w:rsidRPr="008872D0">
        <w:rPr>
          <w:rFonts w:ascii="Garamond" w:hAnsi="Garamond"/>
          <w:i/>
        </w:rPr>
        <w:t xml:space="preserve"> </w:t>
      </w:r>
    </w:p>
    <w:p w14:paraId="22E88CA3" w14:textId="77777777" w:rsidR="008872D0" w:rsidRPr="008872D0" w:rsidRDefault="008872D0" w:rsidP="008872D0">
      <w:pPr>
        <w:spacing w:line="276" w:lineRule="auto"/>
        <w:ind w:left="284" w:hanging="284"/>
        <w:jc w:val="both"/>
        <w:rPr>
          <w:rFonts w:ascii="Garamond" w:hAnsi="Garamond"/>
          <w:sz w:val="24"/>
          <w:szCs w:val="24"/>
        </w:rPr>
      </w:pPr>
    </w:p>
    <w:p w14:paraId="4E680276" w14:textId="77777777" w:rsidR="008872D0" w:rsidRPr="008872D0" w:rsidRDefault="008872D0" w:rsidP="008872D0">
      <w:pPr>
        <w:pStyle w:val="ListParagraph"/>
        <w:numPr>
          <w:ilvl w:val="0"/>
          <w:numId w:val="3"/>
        </w:numPr>
        <w:spacing w:line="276" w:lineRule="auto"/>
        <w:jc w:val="both"/>
        <w:rPr>
          <w:rFonts w:ascii="Garamond" w:hAnsi="Garamond"/>
          <w:b/>
          <w:lang w:val="en-US"/>
        </w:rPr>
      </w:pPr>
      <w:r w:rsidRPr="008872D0">
        <w:rPr>
          <w:rFonts w:ascii="Garamond" w:hAnsi="Garamond"/>
          <w:b/>
          <w:lang w:val="en-US"/>
        </w:rPr>
        <w:t xml:space="preserve">Measuring values </w:t>
      </w:r>
      <w:r w:rsidRPr="008872D0">
        <w:rPr>
          <w:rFonts w:ascii="Garamond" w:hAnsi="Garamond"/>
          <w:lang w:val="en-US"/>
        </w:rPr>
        <w:t>(1 December, 3.40pm)</w:t>
      </w:r>
    </w:p>
    <w:p w14:paraId="07333A05" w14:textId="77777777" w:rsidR="008872D0" w:rsidRPr="008872D0" w:rsidRDefault="008872D0" w:rsidP="008872D0">
      <w:pPr>
        <w:spacing w:line="276" w:lineRule="auto"/>
        <w:jc w:val="both"/>
        <w:rPr>
          <w:rFonts w:ascii="Garamond" w:hAnsi="Garamond"/>
          <w:b/>
          <w:i/>
          <w:sz w:val="24"/>
          <w:szCs w:val="24"/>
        </w:rPr>
      </w:pPr>
      <w:r w:rsidRPr="008872D0">
        <w:rPr>
          <w:rFonts w:ascii="Garamond" w:hAnsi="Garamond"/>
          <w:b/>
          <w:i/>
          <w:sz w:val="24"/>
          <w:szCs w:val="24"/>
        </w:rPr>
        <w:t>We discuss how far science can help law in determining the levels of compliance</w:t>
      </w:r>
    </w:p>
    <w:p w14:paraId="53457A6D" w14:textId="77777777" w:rsidR="008872D0" w:rsidRPr="008872D0" w:rsidRDefault="008872D0" w:rsidP="008872D0">
      <w:pPr>
        <w:spacing w:line="276" w:lineRule="auto"/>
        <w:ind w:left="360"/>
        <w:rPr>
          <w:rFonts w:ascii="Garamond" w:hAnsi="Garamond"/>
          <w:i/>
        </w:rPr>
      </w:pPr>
    </w:p>
    <w:p w14:paraId="2B7692AC" w14:textId="77777777" w:rsidR="008872D0" w:rsidRPr="008872D0" w:rsidRDefault="008872D0" w:rsidP="008872D0">
      <w:pPr>
        <w:spacing w:line="276" w:lineRule="auto"/>
        <w:ind w:left="360"/>
        <w:rPr>
          <w:rFonts w:ascii="Garamond" w:hAnsi="Garamond"/>
        </w:rPr>
      </w:pPr>
      <w:r w:rsidRPr="008872D0">
        <w:rPr>
          <w:rFonts w:ascii="Garamond" w:hAnsi="Garamond"/>
        </w:rPr>
        <w:t>Readings TBA</w:t>
      </w:r>
    </w:p>
    <w:p w14:paraId="111BA5D6" w14:textId="77777777" w:rsidR="008872D0" w:rsidRDefault="008872D0" w:rsidP="008872D0">
      <w:pPr>
        <w:spacing w:line="276" w:lineRule="auto"/>
        <w:jc w:val="both"/>
        <w:rPr>
          <w:rFonts w:ascii="Garamond" w:hAnsi="Garamond"/>
          <w:b/>
          <w:sz w:val="24"/>
          <w:szCs w:val="24"/>
        </w:rPr>
      </w:pPr>
      <w:bookmarkStart w:id="0" w:name="_GoBack"/>
      <w:bookmarkEnd w:id="0"/>
    </w:p>
    <w:p w14:paraId="6CB5C5E0" w14:textId="77777777" w:rsidR="008872D0" w:rsidRPr="008872D0" w:rsidRDefault="008872D0" w:rsidP="008872D0">
      <w:pPr>
        <w:spacing w:line="276" w:lineRule="auto"/>
        <w:jc w:val="both"/>
        <w:rPr>
          <w:rFonts w:ascii="Garamond" w:hAnsi="Garamond"/>
          <w:b/>
          <w:sz w:val="24"/>
          <w:szCs w:val="24"/>
        </w:rPr>
      </w:pPr>
    </w:p>
    <w:p w14:paraId="494300AA" w14:textId="77777777" w:rsidR="008872D0" w:rsidRPr="008872D0" w:rsidRDefault="008872D0" w:rsidP="008872D0">
      <w:pPr>
        <w:pStyle w:val="ListParagraph"/>
        <w:numPr>
          <w:ilvl w:val="0"/>
          <w:numId w:val="3"/>
        </w:numPr>
        <w:spacing w:line="276" w:lineRule="auto"/>
        <w:jc w:val="both"/>
        <w:rPr>
          <w:rFonts w:ascii="Garamond" w:hAnsi="Garamond"/>
          <w:b/>
          <w:lang w:val="en-US"/>
        </w:rPr>
      </w:pPr>
      <w:r w:rsidRPr="008872D0">
        <w:rPr>
          <w:rFonts w:ascii="Garamond" w:hAnsi="Garamond"/>
          <w:b/>
          <w:lang w:val="en-US"/>
        </w:rPr>
        <w:lastRenderedPageBreak/>
        <w:t xml:space="preserve">Supranational vs. national standards </w:t>
      </w:r>
      <w:r w:rsidRPr="008872D0">
        <w:rPr>
          <w:rFonts w:ascii="Garamond" w:hAnsi="Garamond"/>
          <w:lang w:val="en-US"/>
        </w:rPr>
        <w:t>(7 December, 1.30pm)</w:t>
      </w:r>
    </w:p>
    <w:p w14:paraId="2A7D5180" w14:textId="77777777" w:rsidR="008872D0" w:rsidRPr="008872D0" w:rsidRDefault="008872D0" w:rsidP="008872D0">
      <w:pPr>
        <w:spacing w:line="276" w:lineRule="auto"/>
        <w:jc w:val="both"/>
        <w:rPr>
          <w:rFonts w:ascii="Garamond" w:hAnsi="Garamond"/>
          <w:b/>
          <w:i/>
          <w:sz w:val="24"/>
          <w:szCs w:val="24"/>
        </w:rPr>
      </w:pPr>
      <w:r w:rsidRPr="008872D0">
        <w:rPr>
          <w:rFonts w:ascii="Garamond" w:hAnsi="Garamond"/>
          <w:b/>
          <w:i/>
          <w:sz w:val="24"/>
          <w:szCs w:val="24"/>
        </w:rPr>
        <w:t xml:space="preserve">We engage with the potential of emerging double standards in Europe values-wise </w:t>
      </w:r>
    </w:p>
    <w:p w14:paraId="05669011" w14:textId="77777777" w:rsidR="008872D0" w:rsidRPr="008872D0" w:rsidRDefault="008872D0" w:rsidP="008872D0">
      <w:pPr>
        <w:pStyle w:val="ListParagraph"/>
        <w:numPr>
          <w:ilvl w:val="0"/>
          <w:numId w:val="7"/>
        </w:numPr>
        <w:suppressAutoHyphens w:val="0"/>
        <w:jc w:val="both"/>
        <w:rPr>
          <w:rStyle w:val="Hyperlink"/>
          <w:rFonts w:ascii="Garamond" w:hAnsi="Garamond" w:cstheme="minorHAnsi"/>
          <w:b/>
          <w:i/>
          <w:color w:val="auto"/>
          <w:sz w:val="22"/>
          <w:szCs w:val="22"/>
          <w:u w:val="none"/>
        </w:rPr>
      </w:pPr>
      <w:r w:rsidRPr="008872D0">
        <w:rPr>
          <w:rFonts w:ascii="Garamond" w:hAnsi="Garamond"/>
          <w:sz w:val="22"/>
          <w:szCs w:val="22"/>
          <w:lang w:val="en-US"/>
        </w:rPr>
        <w:t xml:space="preserve">Dimitry Kochenov, ‘EU Law without the Rule of Law’, 34 </w:t>
      </w:r>
      <w:r w:rsidRPr="008872D0">
        <w:rPr>
          <w:rFonts w:ascii="Garamond" w:hAnsi="Garamond"/>
          <w:i/>
          <w:sz w:val="22"/>
          <w:szCs w:val="22"/>
          <w:lang w:val="en-US"/>
        </w:rPr>
        <w:t>Yearbook of European Law</w:t>
      </w:r>
      <w:r w:rsidRPr="008872D0">
        <w:rPr>
          <w:rFonts w:ascii="Garamond" w:hAnsi="Garamond"/>
          <w:sz w:val="22"/>
          <w:szCs w:val="22"/>
          <w:lang w:val="en-US"/>
        </w:rPr>
        <w:t xml:space="preserve">, 2015, 74–96: </w:t>
      </w:r>
      <w:hyperlink r:id="rId34" w:history="1">
        <w:r w:rsidRPr="008872D0">
          <w:rPr>
            <w:rStyle w:val="Hyperlink"/>
            <w:rFonts w:ascii="Garamond" w:hAnsi="Garamond"/>
            <w:color w:val="auto"/>
            <w:sz w:val="22"/>
            <w:szCs w:val="22"/>
            <w:lang w:val="en-US"/>
          </w:rPr>
          <w:t>http://papers.ssrn.com/sol3/papers.cfm?abstract_id=2642689</w:t>
        </w:r>
      </w:hyperlink>
    </w:p>
    <w:p w14:paraId="4AB19FE9" w14:textId="77777777" w:rsidR="008872D0" w:rsidRPr="008872D0" w:rsidRDefault="008872D0" w:rsidP="008872D0">
      <w:pPr>
        <w:pStyle w:val="ListParagraph"/>
        <w:suppressAutoHyphens w:val="0"/>
        <w:jc w:val="both"/>
        <w:rPr>
          <w:rStyle w:val="Hyperlink"/>
          <w:rFonts w:ascii="Garamond" w:hAnsi="Garamond"/>
          <w:color w:val="auto"/>
          <w:sz w:val="22"/>
          <w:szCs w:val="22"/>
          <w:lang w:val="en-US"/>
        </w:rPr>
      </w:pPr>
    </w:p>
    <w:p w14:paraId="1B508F47" w14:textId="77777777" w:rsidR="008872D0" w:rsidRPr="008872D0" w:rsidRDefault="008872D0" w:rsidP="008872D0">
      <w:pPr>
        <w:pStyle w:val="ListParagraph"/>
        <w:suppressAutoHyphens w:val="0"/>
        <w:jc w:val="both"/>
        <w:rPr>
          <w:rFonts w:ascii="Garamond" w:hAnsi="Garamond" w:cstheme="minorHAnsi"/>
          <w:b/>
          <w:i/>
          <w:sz w:val="22"/>
          <w:szCs w:val="22"/>
        </w:rPr>
      </w:pPr>
      <w:r w:rsidRPr="008872D0">
        <w:rPr>
          <w:rStyle w:val="Hyperlink"/>
          <w:rFonts w:ascii="Garamond" w:hAnsi="Garamond"/>
          <w:i/>
          <w:color w:val="auto"/>
          <w:sz w:val="22"/>
          <w:szCs w:val="22"/>
          <w:lang w:val="en-US"/>
        </w:rPr>
        <w:t>Please also pick one of the following readings. This one:</w:t>
      </w:r>
    </w:p>
    <w:p w14:paraId="7C956444" w14:textId="77777777" w:rsidR="008872D0" w:rsidRPr="008872D0" w:rsidRDefault="008872D0" w:rsidP="008872D0">
      <w:pPr>
        <w:pStyle w:val="ListParagraph"/>
        <w:numPr>
          <w:ilvl w:val="0"/>
          <w:numId w:val="7"/>
        </w:numPr>
        <w:suppressAutoHyphens w:val="0"/>
        <w:jc w:val="both"/>
        <w:rPr>
          <w:rFonts w:ascii="Garamond" w:hAnsi="Garamond" w:cstheme="minorHAnsi"/>
          <w:b/>
          <w:i/>
          <w:sz w:val="22"/>
          <w:szCs w:val="22"/>
        </w:rPr>
      </w:pPr>
      <w:r w:rsidRPr="008872D0">
        <w:rPr>
          <w:rFonts w:ascii="Garamond" w:hAnsi="Garamond" w:cstheme="minorHAnsi"/>
          <w:sz w:val="22"/>
          <w:szCs w:val="22"/>
        </w:rPr>
        <w:t xml:space="preserve">Dimitry Kochenov and Graham Butler, ‘The Independence and Lawful Composition of the Court of Justice of the European Union’, </w:t>
      </w:r>
      <w:r w:rsidRPr="008872D0">
        <w:rPr>
          <w:rFonts w:ascii="Garamond" w:hAnsi="Garamond" w:cstheme="minorHAnsi"/>
          <w:i/>
          <w:sz w:val="22"/>
          <w:szCs w:val="22"/>
        </w:rPr>
        <w:t>Jean Monnet Working Papers</w:t>
      </w:r>
      <w:r w:rsidRPr="008872D0">
        <w:rPr>
          <w:rFonts w:ascii="Garamond" w:hAnsi="Garamond" w:cstheme="minorHAnsi"/>
          <w:sz w:val="22"/>
          <w:szCs w:val="22"/>
        </w:rPr>
        <w:t xml:space="preserve"> (NYU Law School), No. 2/2020, pp. 1–23: </w:t>
      </w:r>
      <w:hyperlink r:id="rId35" w:history="1">
        <w:r w:rsidRPr="008872D0">
          <w:rPr>
            <w:rStyle w:val="Hyperlink"/>
            <w:rFonts w:ascii="Garamond" w:hAnsi="Garamond" w:cstheme="minorHAnsi"/>
            <w:color w:val="auto"/>
            <w:sz w:val="22"/>
            <w:szCs w:val="22"/>
          </w:rPr>
          <w:t>https://papers.ssrn.com/sol3/papers.cfm?abstract_id=3716760</w:t>
        </w:r>
      </w:hyperlink>
      <w:r w:rsidRPr="008872D0">
        <w:rPr>
          <w:rFonts w:ascii="Garamond" w:hAnsi="Garamond" w:cstheme="minorHAnsi"/>
          <w:sz w:val="22"/>
          <w:szCs w:val="22"/>
        </w:rPr>
        <w:t xml:space="preserve"> </w:t>
      </w:r>
    </w:p>
    <w:p w14:paraId="0A347DDE" w14:textId="77777777" w:rsidR="008872D0" w:rsidRPr="008872D0" w:rsidRDefault="008872D0" w:rsidP="008872D0">
      <w:pPr>
        <w:pStyle w:val="ListParagraph"/>
        <w:suppressAutoHyphens w:val="0"/>
        <w:jc w:val="both"/>
        <w:rPr>
          <w:rFonts w:ascii="Garamond" w:hAnsi="Garamond" w:cstheme="minorHAnsi"/>
          <w:b/>
          <w:i/>
          <w:sz w:val="22"/>
          <w:szCs w:val="22"/>
        </w:rPr>
      </w:pPr>
    </w:p>
    <w:p w14:paraId="1ACD5630" w14:textId="77777777" w:rsidR="008872D0" w:rsidRPr="008872D0" w:rsidRDefault="008872D0" w:rsidP="008872D0">
      <w:pPr>
        <w:pStyle w:val="ListParagraph"/>
        <w:suppressAutoHyphens w:val="0"/>
        <w:jc w:val="both"/>
        <w:rPr>
          <w:rFonts w:ascii="Garamond" w:hAnsi="Garamond" w:cstheme="minorHAnsi"/>
          <w:b/>
          <w:i/>
          <w:sz w:val="22"/>
          <w:szCs w:val="22"/>
        </w:rPr>
      </w:pPr>
      <w:proofErr w:type="gramStart"/>
      <w:r w:rsidRPr="008872D0">
        <w:rPr>
          <w:rFonts w:ascii="Garamond" w:hAnsi="Garamond" w:cstheme="minorHAnsi"/>
          <w:i/>
          <w:sz w:val="22"/>
          <w:szCs w:val="22"/>
        </w:rPr>
        <w:t>or</w:t>
      </w:r>
      <w:proofErr w:type="gramEnd"/>
      <w:r w:rsidRPr="008872D0">
        <w:rPr>
          <w:rFonts w:ascii="Garamond" w:hAnsi="Garamond" w:cstheme="minorHAnsi"/>
          <w:i/>
          <w:sz w:val="22"/>
          <w:szCs w:val="22"/>
        </w:rPr>
        <w:t xml:space="preserve"> this one</w:t>
      </w:r>
    </w:p>
    <w:p w14:paraId="52702D2D" w14:textId="77777777" w:rsidR="008872D0" w:rsidRPr="008872D0" w:rsidRDefault="008872D0" w:rsidP="008872D0">
      <w:pPr>
        <w:pStyle w:val="ListParagraph"/>
        <w:numPr>
          <w:ilvl w:val="0"/>
          <w:numId w:val="7"/>
        </w:numPr>
        <w:suppressAutoHyphens w:val="0"/>
        <w:rPr>
          <w:rStyle w:val="outputecliaff"/>
          <w:rFonts w:ascii="Garamond" w:hAnsi="Garamond" w:cstheme="minorHAnsi"/>
          <w:sz w:val="22"/>
          <w:szCs w:val="22"/>
          <w:lang w:val="en-US"/>
        </w:rPr>
      </w:pPr>
      <w:proofErr w:type="spellStart"/>
      <w:r w:rsidRPr="008872D0">
        <w:rPr>
          <w:rStyle w:val="outputecliaff"/>
          <w:rFonts w:ascii="Garamond" w:hAnsi="Garamond" w:cstheme="minorHAnsi"/>
          <w:sz w:val="22"/>
          <w:szCs w:val="22"/>
          <w:lang w:val="en-US"/>
        </w:rPr>
        <w:t>Dariusz</w:t>
      </w:r>
      <w:proofErr w:type="spellEnd"/>
      <w:r w:rsidRPr="008872D0">
        <w:rPr>
          <w:rStyle w:val="outputecliaff"/>
          <w:rFonts w:ascii="Garamond" w:hAnsi="Garamond" w:cstheme="minorHAnsi"/>
          <w:sz w:val="22"/>
          <w:szCs w:val="22"/>
          <w:lang w:val="en-US"/>
        </w:rPr>
        <w:t xml:space="preserve"> </w:t>
      </w:r>
      <w:proofErr w:type="spellStart"/>
      <w:r w:rsidRPr="008872D0">
        <w:rPr>
          <w:rStyle w:val="outputecliaff"/>
          <w:rFonts w:ascii="Garamond" w:hAnsi="Garamond" w:cstheme="minorHAnsi"/>
          <w:sz w:val="22"/>
          <w:szCs w:val="22"/>
          <w:lang w:val="en-US"/>
        </w:rPr>
        <w:t>Adamski</w:t>
      </w:r>
      <w:proofErr w:type="spellEnd"/>
      <w:r w:rsidRPr="008872D0">
        <w:rPr>
          <w:rStyle w:val="outputecliaff"/>
          <w:rFonts w:ascii="Garamond" w:hAnsi="Garamond" w:cstheme="minorHAnsi"/>
          <w:sz w:val="22"/>
          <w:szCs w:val="22"/>
          <w:lang w:val="en-US"/>
        </w:rPr>
        <w:t xml:space="preserve">, ‘The Social Contract of Democratic Backsliding in the “New EU” Countries’, 56 </w:t>
      </w:r>
      <w:proofErr w:type="spellStart"/>
      <w:proofErr w:type="gramStart"/>
      <w:r w:rsidRPr="008872D0">
        <w:rPr>
          <w:rStyle w:val="outputecliaff"/>
          <w:rFonts w:ascii="Garamond" w:hAnsi="Garamond" w:cstheme="minorHAnsi"/>
          <w:i/>
          <w:sz w:val="22"/>
          <w:szCs w:val="22"/>
          <w:lang w:val="en-US"/>
        </w:rPr>
        <w:t>CMLRev</w:t>
      </w:r>
      <w:proofErr w:type="spellEnd"/>
      <w:r w:rsidRPr="008872D0">
        <w:rPr>
          <w:rStyle w:val="outputecliaff"/>
          <w:rFonts w:ascii="Garamond" w:hAnsi="Garamond" w:cstheme="minorHAnsi"/>
          <w:i/>
          <w:sz w:val="22"/>
          <w:szCs w:val="22"/>
          <w:lang w:val="en-US"/>
        </w:rPr>
        <w:t>.</w:t>
      </w:r>
      <w:r w:rsidRPr="008872D0">
        <w:rPr>
          <w:rStyle w:val="outputecliaff"/>
          <w:rFonts w:ascii="Garamond" w:hAnsi="Garamond" w:cstheme="minorHAnsi"/>
          <w:sz w:val="22"/>
          <w:szCs w:val="22"/>
          <w:lang w:val="en-US"/>
        </w:rPr>
        <w:t>,</w:t>
      </w:r>
      <w:proofErr w:type="gramEnd"/>
      <w:r w:rsidRPr="008872D0">
        <w:rPr>
          <w:rStyle w:val="outputecliaff"/>
          <w:rFonts w:ascii="Garamond" w:hAnsi="Garamond" w:cstheme="minorHAnsi"/>
          <w:sz w:val="22"/>
          <w:szCs w:val="22"/>
          <w:lang w:val="en-US"/>
        </w:rPr>
        <w:t xml:space="preserve"> 2019, 623–666.</w:t>
      </w:r>
    </w:p>
    <w:p w14:paraId="34820AF7" w14:textId="77777777" w:rsidR="008872D0" w:rsidRPr="008872D0" w:rsidRDefault="008872D0" w:rsidP="008872D0">
      <w:pPr>
        <w:pStyle w:val="ListParagraph"/>
        <w:suppressAutoHyphens w:val="0"/>
        <w:jc w:val="both"/>
        <w:rPr>
          <w:rFonts w:ascii="Garamond" w:hAnsi="Garamond" w:cstheme="minorHAnsi"/>
          <w:b/>
          <w:i/>
          <w:sz w:val="22"/>
          <w:szCs w:val="22"/>
        </w:rPr>
      </w:pPr>
    </w:p>
    <w:p w14:paraId="7BEB639E" w14:textId="77777777" w:rsidR="008872D0" w:rsidRPr="008872D0" w:rsidRDefault="008872D0" w:rsidP="008872D0">
      <w:pPr>
        <w:spacing w:after="0"/>
        <w:ind w:left="1440"/>
        <w:jc w:val="both"/>
        <w:rPr>
          <w:rFonts w:ascii="Garamond" w:hAnsi="Garamond" w:cstheme="minorHAnsi"/>
          <w:i/>
        </w:rPr>
      </w:pPr>
      <w:r w:rsidRPr="008872D0">
        <w:rPr>
          <w:rFonts w:ascii="Garamond" w:hAnsi="Garamond" w:cstheme="minorHAnsi"/>
          <w:i/>
        </w:rPr>
        <w:t>Case of the week:</w:t>
      </w:r>
    </w:p>
    <w:p w14:paraId="1059A5F4" w14:textId="77777777" w:rsidR="008872D0" w:rsidRPr="008872D0" w:rsidRDefault="008872D0" w:rsidP="008872D0">
      <w:pPr>
        <w:spacing w:after="0"/>
        <w:ind w:left="1440"/>
        <w:jc w:val="both"/>
        <w:rPr>
          <w:rFonts w:ascii="Garamond" w:hAnsi="Garamond"/>
        </w:rPr>
      </w:pPr>
      <w:r w:rsidRPr="008872D0">
        <w:rPr>
          <w:rFonts w:ascii="Garamond" w:hAnsi="Garamond" w:cstheme="minorHAnsi"/>
        </w:rPr>
        <w:t>Opinion 2/13 (</w:t>
      </w:r>
      <w:r w:rsidRPr="008872D0">
        <w:rPr>
          <w:rFonts w:ascii="Garamond" w:hAnsi="Garamond" w:cstheme="minorHAnsi"/>
          <w:i/>
        </w:rPr>
        <w:t>ECHR Accession II</w:t>
      </w:r>
      <w:r w:rsidRPr="008872D0">
        <w:rPr>
          <w:rFonts w:ascii="Garamond" w:hAnsi="Garamond" w:cstheme="minorHAnsi"/>
        </w:rPr>
        <w:t xml:space="preserve">) </w:t>
      </w:r>
      <w:r w:rsidRPr="008872D0">
        <w:rPr>
          <w:rFonts w:ascii="Garamond" w:hAnsi="Garamond"/>
        </w:rPr>
        <w:t>ECLI</w:t>
      </w:r>
      <w:proofErr w:type="gramStart"/>
      <w:r w:rsidRPr="008872D0">
        <w:rPr>
          <w:rFonts w:ascii="Garamond" w:hAnsi="Garamond"/>
        </w:rPr>
        <w:t>:EU:C:2014:2454</w:t>
      </w:r>
      <w:proofErr w:type="gramEnd"/>
    </w:p>
    <w:p w14:paraId="6E134015" w14:textId="5A40375D" w:rsidR="003A2113" w:rsidRPr="008872D0" w:rsidRDefault="008872D0" w:rsidP="008872D0">
      <w:pPr>
        <w:spacing w:after="0" w:line="240" w:lineRule="auto"/>
        <w:ind w:left="1440"/>
        <w:jc w:val="center"/>
        <w:rPr>
          <w:rFonts w:ascii="Garamond" w:hAnsi="Garamond"/>
          <w:b/>
        </w:rPr>
      </w:pPr>
      <w:hyperlink r:id="rId36" w:history="1">
        <w:r w:rsidRPr="008872D0">
          <w:rPr>
            <w:rStyle w:val="Hyperlink"/>
            <w:rFonts w:ascii="Garamond" w:hAnsi="Garamond" w:cstheme="minorHAnsi"/>
            <w:color w:val="auto"/>
          </w:rPr>
          <w:t>https://curia.europa.eu/juris/document/document.jsf?text=&amp;docid=160882&amp;pageIndex=0&amp;doclang=en&amp;mode=lst&amp;dir=&amp;occ=first&amp;part=1&amp;cid=7932544</w:t>
        </w:r>
      </w:hyperlink>
    </w:p>
    <w:sectPr w:rsidR="003A2113" w:rsidRPr="008872D0" w:rsidSect="008667F2">
      <w:footerReference w:type="default" r:id="rId37"/>
      <w:pgSz w:w="12240" w:h="15840"/>
      <w:pgMar w:top="1440" w:right="1080" w:bottom="1440" w:left="1080" w:header="720" w:footer="720" w:gutter="0"/>
      <w:cols w:space="720" w:equalWidth="0">
        <w:col w:w="9362"/>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4A260" w14:textId="77777777" w:rsidR="00D0165F" w:rsidRDefault="00D0165F" w:rsidP="008667F2">
      <w:pPr>
        <w:spacing w:after="0" w:line="240" w:lineRule="auto"/>
      </w:pPr>
      <w:r>
        <w:separator/>
      </w:r>
    </w:p>
  </w:endnote>
  <w:endnote w:type="continuationSeparator" w:id="0">
    <w:p w14:paraId="4688A82F" w14:textId="77777777" w:rsidR="00D0165F" w:rsidRDefault="00D0165F" w:rsidP="0086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CBC8" w14:textId="77777777" w:rsidR="008667F2" w:rsidRDefault="008667F2">
    <w:pPr>
      <w:pStyle w:val="Footer"/>
    </w:pPr>
    <w:r>
      <w:fldChar w:fldCharType="begin"/>
    </w:r>
    <w:r>
      <w:instrText xml:space="preserve"> PAGE   \* MERGEFORMAT </w:instrText>
    </w:r>
    <w:r>
      <w:fldChar w:fldCharType="separate"/>
    </w:r>
    <w:r w:rsidR="000C6575">
      <w:rPr>
        <w:noProof/>
      </w:rPr>
      <w:t>5</w:t>
    </w:r>
    <w:r>
      <w:fldChar w:fldCharType="end"/>
    </w:r>
  </w:p>
  <w:p w14:paraId="5997CC1D" w14:textId="77777777" w:rsidR="008667F2" w:rsidRDefault="00866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09F6B" w14:textId="77777777" w:rsidR="00D0165F" w:rsidRDefault="00D0165F" w:rsidP="008667F2">
      <w:pPr>
        <w:spacing w:after="0" w:line="240" w:lineRule="auto"/>
      </w:pPr>
      <w:r>
        <w:separator/>
      </w:r>
    </w:p>
  </w:footnote>
  <w:footnote w:type="continuationSeparator" w:id="0">
    <w:p w14:paraId="795A8137" w14:textId="77777777" w:rsidR="00D0165F" w:rsidRDefault="00D0165F" w:rsidP="00866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2A155"/>
    <w:multiLevelType w:val="hybridMultilevel"/>
    <w:tmpl w:val="0575BF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9D74C3"/>
    <w:multiLevelType w:val="hybridMultilevel"/>
    <w:tmpl w:val="584A7B78"/>
    <w:lvl w:ilvl="0" w:tplc="0413000F">
      <w:start w:val="1"/>
      <w:numFmt w:val="decimal"/>
      <w:lvlText w:val="%1."/>
      <w:lvlJc w:val="left"/>
      <w:pPr>
        <w:ind w:left="99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62D0DF1"/>
    <w:multiLevelType w:val="hybridMultilevel"/>
    <w:tmpl w:val="FED60C36"/>
    <w:lvl w:ilvl="0" w:tplc="1FAC52AE">
      <w:numFmt w:val="bullet"/>
      <w:lvlText w:val="-"/>
      <w:lvlJc w:val="left"/>
      <w:pPr>
        <w:ind w:left="720" w:hanging="360"/>
      </w:pPr>
      <w:rPr>
        <w:rFonts w:ascii="Times New Roman" w:eastAsia="MS PGothic"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CC5D2E"/>
    <w:multiLevelType w:val="hybridMultilevel"/>
    <w:tmpl w:val="DF6E37C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188029A"/>
    <w:multiLevelType w:val="hybridMultilevel"/>
    <w:tmpl w:val="ECAAE14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70AA9DF0"/>
    <w:multiLevelType w:val="hybridMultilevel"/>
    <w:tmpl w:val="BBEFF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2E3AE4"/>
    <w:multiLevelType w:val="hybridMultilevel"/>
    <w:tmpl w:val="789692A4"/>
    <w:lvl w:ilvl="0" w:tplc="E5F8F960">
      <w:numFmt w:val="bullet"/>
      <w:lvlText w:val="-"/>
      <w:lvlJc w:val="left"/>
      <w:pPr>
        <w:ind w:left="720" w:hanging="360"/>
      </w:pPr>
      <w:rPr>
        <w:rFonts w:ascii="Times New Roman" w:eastAsia="MS PGothic" w:hAnsi="Times New Roman" w:cs="Times New Roman"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F2"/>
    <w:rsid w:val="00063913"/>
    <w:rsid w:val="000C6575"/>
    <w:rsid w:val="00147F6F"/>
    <w:rsid w:val="00164513"/>
    <w:rsid w:val="001D3C04"/>
    <w:rsid w:val="002509E5"/>
    <w:rsid w:val="00272067"/>
    <w:rsid w:val="002E0E89"/>
    <w:rsid w:val="003A2113"/>
    <w:rsid w:val="005C0BA0"/>
    <w:rsid w:val="00605F94"/>
    <w:rsid w:val="00615D39"/>
    <w:rsid w:val="00641894"/>
    <w:rsid w:val="006B0FF0"/>
    <w:rsid w:val="00700C16"/>
    <w:rsid w:val="00711D82"/>
    <w:rsid w:val="00726BBA"/>
    <w:rsid w:val="007C2406"/>
    <w:rsid w:val="007D35DC"/>
    <w:rsid w:val="008667F2"/>
    <w:rsid w:val="008872D0"/>
    <w:rsid w:val="00897ED1"/>
    <w:rsid w:val="008E58C4"/>
    <w:rsid w:val="009012E9"/>
    <w:rsid w:val="009827F7"/>
    <w:rsid w:val="00A21263"/>
    <w:rsid w:val="00AA5D3C"/>
    <w:rsid w:val="00AD3ADA"/>
    <w:rsid w:val="00B547B4"/>
    <w:rsid w:val="00BA50DE"/>
    <w:rsid w:val="00BA5E9E"/>
    <w:rsid w:val="00BA6F69"/>
    <w:rsid w:val="00BC7538"/>
    <w:rsid w:val="00CA3F02"/>
    <w:rsid w:val="00CC66E7"/>
    <w:rsid w:val="00D0165F"/>
    <w:rsid w:val="00D63DDB"/>
    <w:rsid w:val="00D75F4F"/>
    <w:rsid w:val="00DB67D4"/>
    <w:rsid w:val="00DC5D16"/>
    <w:rsid w:val="00E23DCB"/>
    <w:rsid w:val="00E661E1"/>
    <w:rsid w:val="00EF66F4"/>
    <w:rsid w:val="00FA0A7A"/>
    <w:rsid w:val="1F39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19F2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67F2"/>
    <w:rPr>
      <w:rFonts w:cs="Times New Roman"/>
      <w:color w:val="0563C1"/>
      <w:u w:val="single"/>
    </w:rPr>
  </w:style>
  <w:style w:type="character" w:customStyle="1" w:styleId="UnresolvedMention">
    <w:name w:val="Unresolved Mention"/>
    <w:uiPriority w:val="99"/>
    <w:semiHidden/>
    <w:unhideWhenUsed/>
    <w:rsid w:val="008667F2"/>
    <w:rPr>
      <w:rFonts w:cs="Times New Roman"/>
      <w:color w:val="605E5C"/>
      <w:shd w:val="clear" w:color="auto" w:fill="E1DFDD"/>
    </w:rPr>
  </w:style>
  <w:style w:type="paragraph" w:styleId="Header">
    <w:name w:val="header"/>
    <w:basedOn w:val="Normal"/>
    <w:link w:val="HeaderChar"/>
    <w:uiPriority w:val="99"/>
    <w:unhideWhenUsed/>
    <w:rsid w:val="008667F2"/>
    <w:pPr>
      <w:tabs>
        <w:tab w:val="center" w:pos="4680"/>
        <w:tab w:val="right" w:pos="9360"/>
      </w:tabs>
    </w:pPr>
  </w:style>
  <w:style w:type="character" w:customStyle="1" w:styleId="HeaderChar">
    <w:name w:val="Header Char"/>
    <w:link w:val="Header"/>
    <w:uiPriority w:val="99"/>
    <w:locked/>
    <w:rsid w:val="008667F2"/>
    <w:rPr>
      <w:rFonts w:cs="Times New Roman"/>
    </w:rPr>
  </w:style>
  <w:style w:type="paragraph" w:styleId="Footer">
    <w:name w:val="footer"/>
    <w:basedOn w:val="Normal"/>
    <w:link w:val="FooterChar"/>
    <w:uiPriority w:val="99"/>
    <w:unhideWhenUsed/>
    <w:rsid w:val="008667F2"/>
    <w:pPr>
      <w:tabs>
        <w:tab w:val="center" w:pos="4680"/>
        <w:tab w:val="right" w:pos="9360"/>
      </w:tabs>
    </w:pPr>
  </w:style>
  <w:style w:type="character" w:customStyle="1" w:styleId="FooterChar">
    <w:name w:val="Footer Char"/>
    <w:link w:val="Footer"/>
    <w:uiPriority w:val="99"/>
    <w:locked/>
    <w:rsid w:val="008667F2"/>
    <w:rPr>
      <w:rFonts w:cs="Times New Roman"/>
    </w:rPr>
  </w:style>
  <w:style w:type="character" w:styleId="CommentReference">
    <w:name w:val="annotation reference"/>
    <w:basedOn w:val="DefaultParagraphFont"/>
    <w:uiPriority w:val="99"/>
    <w:semiHidden/>
    <w:unhideWhenUsed/>
    <w:rsid w:val="003A2113"/>
    <w:rPr>
      <w:sz w:val="16"/>
      <w:szCs w:val="16"/>
    </w:rPr>
  </w:style>
  <w:style w:type="paragraph" w:styleId="CommentText">
    <w:name w:val="annotation text"/>
    <w:basedOn w:val="Normal"/>
    <w:link w:val="CommentTextChar"/>
    <w:uiPriority w:val="99"/>
    <w:semiHidden/>
    <w:unhideWhenUsed/>
    <w:rsid w:val="003A2113"/>
    <w:pPr>
      <w:spacing w:line="240" w:lineRule="auto"/>
    </w:pPr>
    <w:rPr>
      <w:sz w:val="20"/>
      <w:szCs w:val="20"/>
    </w:rPr>
  </w:style>
  <w:style w:type="character" w:customStyle="1" w:styleId="CommentTextChar">
    <w:name w:val="Comment Text Char"/>
    <w:basedOn w:val="DefaultParagraphFont"/>
    <w:link w:val="CommentText"/>
    <w:uiPriority w:val="99"/>
    <w:semiHidden/>
    <w:rsid w:val="003A2113"/>
  </w:style>
  <w:style w:type="paragraph" w:styleId="CommentSubject">
    <w:name w:val="annotation subject"/>
    <w:basedOn w:val="CommentText"/>
    <w:next w:val="CommentText"/>
    <w:link w:val="CommentSubjectChar"/>
    <w:uiPriority w:val="99"/>
    <w:semiHidden/>
    <w:unhideWhenUsed/>
    <w:rsid w:val="003A2113"/>
    <w:rPr>
      <w:b/>
      <w:bCs/>
    </w:rPr>
  </w:style>
  <w:style w:type="character" w:customStyle="1" w:styleId="CommentSubjectChar">
    <w:name w:val="Comment Subject Char"/>
    <w:basedOn w:val="CommentTextChar"/>
    <w:link w:val="CommentSubject"/>
    <w:uiPriority w:val="99"/>
    <w:semiHidden/>
    <w:rsid w:val="003A2113"/>
    <w:rPr>
      <w:b/>
      <w:bCs/>
    </w:rPr>
  </w:style>
  <w:style w:type="paragraph" w:styleId="BalloonText">
    <w:name w:val="Balloon Text"/>
    <w:basedOn w:val="Normal"/>
    <w:link w:val="BalloonTextChar"/>
    <w:uiPriority w:val="99"/>
    <w:semiHidden/>
    <w:unhideWhenUsed/>
    <w:rsid w:val="003A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13"/>
    <w:rPr>
      <w:rFonts w:ascii="Tahoma" w:hAnsi="Tahoma" w:cs="Tahoma"/>
      <w:sz w:val="16"/>
      <w:szCs w:val="16"/>
    </w:rPr>
  </w:style>
  <w:style w:type="paragraph" w:styleId="ListParagraph">
    <w:name w:val="List Paragraph"/>
    <w:basedOn w:val="Normal"/>
    <w:uiPriority w:val="34"/>
    <w:qFormat/>
    <w:rsid w:val="003A2113"/>
    <w:pPr>
      <w:suppressAutoHyphens/>
      <w:spacing w:after="0" w:line="240" w:lineRule="auto"/>
      <w:ind w:left="720"/>
      <w:contextualSpacing/>
    </w:pPr>
    <w:rPr>
      <w:rFonts w:ascii="Times New Roman" w:eastAsia="SimSun" w:hAnsi="Times New Roman"/>
      <w:sz w:val="24"/>
      <w:szCs w:val="24"/>
      <w:lang w:val="en-GB" w:eastAsia="ar-SA"/>
    </w:rPr>
  </w:style>
  <w:style w:type="paragraph" w:customStyle="1" w:styleId="Default">
    <w:name w:val="Default"/>
    <w:rsid w:val="002E0E89"/>
    <w:pPr>
      <w:autoSpaceDE w:val="0"/>
      <w:autoSpaceDN w:val="0"/>
      <w:adjustRightInd w:val="0"/>
    </w:pPr>
    <w:rPr>
      <w:rFonts w:ascii="Symbol" w:hAnsi="Symbol" w:cs="Symbol"/>
      <w:color w:val="000000"/>
      <w:sz w:val="24"/>
      <w:szCs w:val="24"/>
    </w:rPr>
  </w:style>
  <w:style w:type="paragraph" w:styleId="FootnoteText">
    <w:name w:val="footnote text"/>
    <w:aliases w:val="Footnote Text Char2,Footnote Text Char Char1,Footnote Char Char,Voetnoottekst Char Char Char,Footnote Text Char Char Char Char,Voetnoottekst Char Char1,Footnote Text Char1 Char,Footnote Text Char Char Char1,Footnote Char,Footnote Text Cha"/>
    <w:basedOn w:val="Normal"/>
    <w:link w:val="FootnoteTextChar"/>
    <w:unhideWhenUsed/>
    <w:rsid w:val="008872D0"/>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Char2 Char,Footnote Text Char Char1 Char,Footnote Char Char Char,Voetnoottekst Char Char Char Char,Footnote Text Char Char Char Char Char,Voetnoottekst Char Char1 Char,Footnote Text Char1 Char Char,Footnote Char Char1"/>
    <w:basedOn w:val="DefaultParagraphFont"/>
    <w:link w:val="FootnoteText"/>
    <w:rsid w:val="008872D0"/>
    <w:rPr>
      <w:rFonts w:asciiTheme="minorHAnsi" w:eastAsiaTheme="minorHAnsi" w:hAnsiTheme="minorHAnsi" w:cstheme="minorBidi"/>
    </w:rPr>
  </w:style>
  <w:style w:type="character" w:customStyle="1" w:styleId="outputecliaff">
    <w:name w:val="outputecliaff"/>
    <w:basedOn w:val="DefaultParagraphFont"/>
    <w:rsid w:val="008872D0"/>
  </w:style>
  <w:style w:type="character" w:styleId="FollowedHyperlink">
    <w:name w:val="FollowedHyperlink"/>
    <w:basedOn w:val="DefaultParagraphFont"/>
    <w:uiPriority w:val="99"/>
    <w:semiHidden/>
    <w:unhideWhenUsed/>
    <w:rsid w:val="008872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67F2"/>
    <w:rPr>
      <w:rFonts w:cs="Times New Roman"/>
      <w:color w:val="0563C1"/>
      <w:u w:val="single"/>
    </w:rPr>
  </w:style>
  <w:style w:type="character" w:customStyle="1" w:styleId="UnresolvedMention">
    <w:name w:val="Unresolved Mention"/>
    <w:uiPriority w:val="99"/>
    <w:semiHidden/>
    <w:unhideWhenUsed/>
    <w:rsid w:val="008667F2"/>
    <w:rPr>
      <w:rFonts w:cs="Times New Roman"/>
      <w:color w:val="605E5C"/>
      <w:shd w:val="clear" w:color="auto" w:fill="E1DFDD"/>
    </w:rPr>
  </w:style>
  <w:style w:type="paragraph" w:styleId="Header">
    <w:name w:val="header"/>
    <w:basedOn w:val="Normal"/>
    <w:link w:val="HeaderChar"/>
    <w:uiPriority w:val="99"/>
    <w:unhideWhenUsed/>
    <w:rsid w:val="008667F2"/>
    <w:pPr>
      <w:tabs>
        <w:tab w:val="center" w:pos="4680"/>
        <w:tab w:val="right" w:pos="9360"/>
      </w:tabs>
    </w:pPr>
  </w:style>
  <w:style w:type="character" w:customStyle="1" w:styleId="HeaderChar">
    <w:name w:val="Header Char"/>
    <w:link w:val="Header"/>
    <w:uiPriority w:val="99"/>
    <w:locked/>
    <w:rsid w:val="008667F2"/>
    <w:rPr>
      <w:rFonts w:cs="Times New Roman"/>
    </w:rPr>
  </w:style>
  <w:style w:type="paragraph" w:styleId="Footer">
    <w:name w:val="footer"/>
    <w:basedOn w:val="Normal"/>
    <w:link w:val="FooterChar"/>
    <w:uiPriority w:val="99"/>
    <w:unhideWhenUsed/>
    <w:rsid w:val="008667F2"/>
    <w:pPr>
      <w:tabs>
        <w:tab w:val="center" w:pos="4680"/>
        <w:tab w:val="right" w:pos="9360"/>
      </w:tabs>
    </w:pPr>
  </w:style>
  <w:style w:type="character" w:customStyle="1" w:styleId="FooterChar">
    <w:name w:val="Footer Char"/>
    <w:link w:val="Footer"/>
    <w:uiPriority w:val="99"/>
    <w:locked/>
    <w:rsid w:val="008667F2"/>
    <w:rPr>
      <w:rFonts w:cs="Times New Roman"/>
    </w:rPr>
  </w:style>
  <w:style w:type="character" w:styleId="CommentReference">
    <w:name w:val="annotation reference"/>
    <w:basedOn w:val="DefaultParagraphFont"/>
    <w:uiPriority w:val="99"/>
    <w:semiHidden/>
    <w:unhideWhenUsed/>
    <w:rsid w:val="003A2113"/>
    <w:rPr>
      <w:sz w:val="16"/>
      <w:szCs w:val="16"/>
    </w:rPr>
  </w:style>
  <w:style w:type="paragraph" w:styleId="CommentText">
    <w:name w:val="annotation text"/>
    <w:basedOn w:val="Normal"/>
    <w:link w:val="CommentTextChar"/>
    <w:uiPriority w:val="99"/>
    <w:semiHidden/>
    <w:unhideWhenUsed/>
    <w:rsid w:val="003A2113"/>
    <w:pPr>
      <w:spacing w:line="240" w:lineRule="auto"/>
    </w:pPr>
    <w:rPr>
      <w:sz w:val="20"/>
      <w:szCs w:val="20"/>
    </w:rPr>
  </w:style>
  <w:style w:type="character" w:customStyle="1" w:styleId="CommentTextChar">
    <w:name w:val="Comment Text Char"/>
    <w:basedOn w:val="DefaultParagraphFont"/>
    <w:link w:val="CommentText"/>
    <w:uiPriority w:val="99"/>
    <w:semiHidden/>
    <w:rsid w:val="003A2113"/>
  </w:style>
  <w:style w:type="paragraph" w:styleId="CommentSubject">
    <w:name w:val="annotation subject"/>
    <w:basedOn w:val="CommentText"/>
    <w:next w:val="CommentText"/>
    <w:link w:val="CommentSubjectChar"/>
    <w:uiPriority w:val="99"/>
    <w:semiHidden/>
    <w:unhideWhenUsed/>
    <w:rsid w:val="003A2113"/>
    <w:rPr>
      <w:b/>
      <w:bCs/>
    </w:rPr>
  </w:style>
  <w:style w:type="character" w:customStyle="1" w:styleId="CommentSubjectChar">
    <w:name w:val="Comment Subject Char"/>
    <w:basedOn w:val="CommentTextChar"/>
    <w:link w:val="CommentSubject"/>
    <w:uiPriority w:val="99"/>
    <w:semiHidden/>
    <w:rsid w:val="003A2113"/>
    <w:rPr>
      <w:b/>
      <w:bCs/>
    </w:rPr>
  </w:style>
  <w:style w:type="paragraph" w:styleId="BalloonText">
    <w:name w:val="Balloon Text"/>
    <w:basedOn w:val="Normal"/>
    <w:link w:val="BalloonTextChar"/>
    <w:uiPriority w:val="99"/>
    <w:semiHidden/>
    <w:unhideWhenUsed/>
    <w:rsid w:val="003A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13"/>
    <w:rPr>
      <w:rFonts w:ascii="Tahoma" w:hAnsi="Tahoma" w:cs="Tahoma"/>
      <w:sz w:val="16"/>
      <w:szCs w:val="16"/>
    </w:rPr>
  </w:style>
  <w:style w:type="paragraph" w:styleId="ListParagraph">
    <w:name w:val="List Paragraph"/>
    <w:basedOn w:val="Normal"/>
    <w:uiPriority w:val="34"/>
    <w:qFormat/>
    <w:rsid w:val="003A2113"/>
    <w:pPr>
      <w:suppressAutoHyphens/>
      <w:spacing w:after="0" w:line="240" w:lineRule="auto"/>
      <w:ind w:left="720"/>
      <w:contextualSpacing/>
    </w:pPr>
    <w:rPr>
      <w:rFonts w:ascii="Times New Roman" w:eastAsia="SimSun" w:hAnsi="Times New Roman"/>
      <w:sz w:val="24"/>
      <w:szCs w:val="24"/>
      <w:lang w:val="en-GB" w:eastAsia="ar-SA"/>
    </w:rPr>
  </w:style>
  <w:style w:type="paragraph" w:customStyle="1" w:styleId="Default">
    <w:name w:val="Default"/>
    <w:rsid w:val="002E0E89"/>
    <w:pPr>
      <w:autoSpaceDE w:val="0"/>
      <w:autoSpaceDN w:val="0"/>
      <w:adjustRightInd w:val="0"/>
    </w:pPr>
    <w:rPr>
      <w:rFonts w:ascii="Symbol" w:hAnsi="Symbol" w:cs="Symbol"/>
      <w:color w:val="000000"/>
      <w:sz w:val="24"/>
      <w:szCs w:val="24"/>
    </w:rPr>
  </w:style>
  <w:style w:type="paragraph" w:styleId="FootnoteText">
    <w:name w:val="footnote text"/>
    <w:aliases w:val="Footnote Text Char2,Footnote Text Char Char1,Footnote Char Char,Voetnoottekst Char Char Char,Footnote Text Char Char Char Char,Voetnoottekst Char Char1,Footnote Text Char1 Char,Footnote Text Char Char Char1,Footnote Char,Footnote Text Cha"/>
    <w:basedOn w:val="Normal"/>
    <w:link w:val="FootnoteTextChar"/>
    <w:unhideWhenUsed/>
    <w:rsid w:val="008872D0"/>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Char2 Char,Footnote Text Char Char1 Char,Footnote Char Char Char,Voetnoottekst Char Char Char Char,Footnote Text Char Char Char Char Char,Voetnoottekst Char Char1 Char,Footnote Text Char1 Char Char,Footnote Char Char1"/>
    <w:basedOn w:val="DefaultParagraphFont"/>
    <w:link w:val="FootnoteText"/>
    <w:rsid w:val="008872D0"/>
    <w:rPr>
      <w:rFonts w:asciiTheme="minorHAnsi" w:eastAsiaTheme="minorHAnsi" w:hAnsiTheme="minorHAnsi" w:cstheme="minorBidi"/>
    </w:rPr>
  </w:style>
  <w:style w:type="character" w:customStyle="1" w:styleId="outputecliaff">
    <w:name w:val="outputecliaff"/>
    <w:basedOn w:val="DefaultParagraphFont"/>
    <w:rsid w:val="008872D0"/>
  </w:style>
  <w:style w:type="character" w:styleId="FollowedHyperlink">
    <w:name w:val="FollowedHyperlink"/>
    <w:basedOn w:val="DefaultParagraphFont"/>
    <w:uiPriority w:val="99"/>
    <w:semiHidden/>
    <w:unhideWhenUsed/>
    <w:rsid w:val="00887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chenovd@ceu.edu" TargetMode="External"/><Relationship Id="rId18" Type="http://schemas.openxmlformats.org/officeDocument/2006/relationships/hyperlink" Target="https://jeanmonnetprogram.org/wp-content/uploads/JMWP-05-Amedeo-Arena.pdf" TargetMode="External"/><Relationship Id="rId26" Type="http://schemas.openxmlformats.org/officeDocument/2006/relationships/hyperlink" Target="http://www.jeanmonnetprogram.org/paper/the-rule-of-law-as-a-constitutional-principle-of-the-european-union/" TargetMode="External"/><Relationship Id="rId39" Type="http://schemas.openxmlformats.org/officeDocument/2006/relationships/theme" Target="theme/theme1.xml"/><Relationship Id="rId21" Type="http://schemas.openxmlformats.org/officeDocument/2006/relationships/hyperlink" Target="https://academic.oup.com/yel/article-abstract/1/1/267/1657313" TargetMode="External"/><Relationship Id="rId34" Type="http://schemas.openxmlformats.org/officeDocument/2006/relationships/hyperlink" Target="http://papers.ssrn.com/sol3/papers.cfm?abstract_id=2642689" TargetMode="External"/><Relationship Id="rId7" Type="http://schemas.openxmlformats.org/officeDocument/2006/relationships/settings" Target="settings.xml"/><Relationship Id="rId12" Type="http://schemas.openxmlformats.org/officeDocument/2006/relationships/hyperlink" Target="http://www.kochenov.eu" TargetMode="External"/><Relationship Id="rId17" Type="http://schemas.openxmlformats.org/officeDocument/2006/relationships/hyperlink" Target="https://academic.oup.com/ejil/article/25/2/445/406216" TargetMode="External"/><Relationship Id="rId25" Type="http://schemas.openxmlformats.org/officeDocument/2006/relationships/hyperlink" Target="https://papers.ssrn.com/sol3/papers.cfm?abstract_id=2822327" TargetMode="External"/><Relationship Id="rId33" Type="http://schemas.openxmlformats.org/officeDocument/2006/relationships/hyperlink" Target="https://curia.europa.eu/juris/document/document.jsf?text=&amp;docid=199682&amp;doclang=E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oomsburycollections.com/book/eurafrica-the-untold-history-of-european-integration-and-colonialism/ch1-introduction-the-past-that-europe-forgot?from=search" TargetMode="External"/><Relationship Id="rId20" Type="http://schemas.openxmlformats.org/officeDocument/2006/relationships/hyperlink" Target="https://digitalcommons.law.yale.edu/ylj/vol100/iss8/6/" TargetMode="External"/><Relationship Id="rId29" Type="http://schemas.openxmlformats.org/officeDocument/2006/relationships/hyperlink" Target="https://reconnect-europe.eu/wp-content/uploads/2021/07/D14.1_web.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eur-lex.europa.eu/legal-content/EN/TXT/?uri=CELEX%3A61958CJ0001" TargetMode="External"/><Relationship Id="rId32" Type="http://schemas.openxmlformats.org/officeDocument/2006/relationships/hyperlink" Target="https://academic.oup.com/yel/article/doi/10.1093/yel/yeaa012/6064852?searchresult=1"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ambridge.org/core/books/ethos-of-europe/peace/5C38ADE38591D060001A25E293DB9240" TargetMode="External"/><Relationship Id="rId23" Type="http://schemas.openxmlformats.org/officeDocument/2006/relationships/hyperlink" Target="https://papers.ssrn.com/sol3/papers.cfm?abstract_id=3383828" TargetMode="External"/><Relationship Id="rId28" Type="http://schemas.openxmlformats.org/officeDocument/2006/relationships/hyperlink" Target="https://curia.europa.eu/juris/liste.jsf?language=en&amp;jur=C,T,F&amp;num=294/83&amp;td=ALL" TargetMode="External"/><Relationship Id="rId36" Type="http://schemas.openxmlformats.org/officeDocument/2006/relationships/hyperlink" Target="https://curia.europa.eu/juris/document/document.jsf?text=&amp;docid=160882&amp;pageIndex=0&amp;doclang=en&amp;mode=lst&amp;dir=&amp;occ=first&amp;part=1&amp;cid=7932544" TargetMode="External"/><Relationship Id="rId10" Type="http://schemas.openxmlformats.org/officeDocument/2006/relationships/endnotes" Target="endnotes.xml"/><Relationship Id="rId19" Type="http://schemas.openxmlformats.org/officeDocument/2006/relationships/hyperlink" Target="https://papers.ssrn.com/sol3/papers.cfm?abstract_id=704381" TargetMode="External"/><Relationship Id="rId31" Type="http://schemas.openxmlformats.org/officeDocument/2006/relationships/hyperlink" Target="https://papers.ssrn.com/sol3/papers.cfm?abstract_id=3850308"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robert-schuman.eu/en/doc/questions-d-europe/qe-204-en.pdf" TargetMode="External"/><Relationship Id="rId22" Type="http://schemas.openxmlformats.org/officeDocument/2006/relationships/hyperlink" Target="https://papers.ssrn.com/sol3/papers.cfm?abstract_id=3009280" TargetMode="External"/><Relationship Id="rId27" Type="http://schemas.openxmlformats.org/officeDocument/2006/relationships/hyperlink" Target="http://papers.ssrn.com/sol3/papers.cfm?abstract_id=2760968" TargetMode="External"/><Relationship Id="rId30" Type="http://schemas.openxmlformats.org/officeDocument/2006/relationships/hyperlink" Target="https://papers.ssrn.com/sol3/papers.cfm?abstract_id=3716760" TargetMode="External"/><Relationship Id="rId35" Type="http://schemas.openxmlformats.org/officeDocument/2006/relationships/hyperlink" Target="https://papers.ssrn.com/sol3/papers.cfm?abstract_id=371676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C6231364C36449CE3189449B2CD00" ma:contentTypeVersion="8" ma:contentTypeDescription="Create a new document." ma:contentTypeScope="" ma:versionID="012cdac7d6dc8cd5636239636061cda9">
  <xsd:schema xmlns:xsd="http://www.w3.org/2001/XMLSchema" xmlns:xs="http://www.w3.org/2001/XMLSchema" xmlns:p="http://schemas.microsoft.com/office/2006/metadata/properties" xmlns:ns2="41af32aa-541e-4c6c-9cf1-b95a0caa62b7" xmlns:ns3="53cbf136-6621-4c09-822a-7b54e1f46e81" targetNamespace="http://schemas.microsoft.com/office/2006/metadata/properties" ma:root="true" ma:fieldsID="770217aa4728232b8970f09dd1b1494e" ns2:_="" ns3:_="">
    <xsd:import namespace="41af32aa-541e-4c6c-9cf1-b95a0caa62b7"/>
    <xsd:import namespace="53cbf136-6621-4c09-822a-7b54e1f46e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f32aa-541e-4c6c-9cf1-b95a0caa62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bf136-6621-4c09-822a-7b54e1f46e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3D4E4-B4C7-4BDC-A822-72012D7E05C0}">
  <ds:schemaRefs>
    <ds:schemaRef ds:uri="http://schemas.microsoft.com/sharepoint/v3/contenttype/forms"/>
  </ds:schemaRefs>
</ds:datastoreItem>
</file>

<file path=customXml/itemProps2.xml><?xml version="1.0" encoding="utf-8"?>
<ds:datastoreItem xmlns:ds="http://schemas.openxmlformats.org/officeDocument/2006/customXml" ds:itemID="{C5066FBB-9E1A-48B9-B2A2-EE9320FF0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f32aa-541e-4c6c-9cf1-b95a0caa62b7"/>
    <ds:schemaRef ds:uri="53cbf136-6621-4c09-822a-7b54e1f46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92A75-0FE0-4149-953D-48BAB3FD4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Lilla Sugo</dc:creator>
  <cp:lastModifiedBy>Dimitry Kochenov</cp:lastModifiedBy>
  <cp:revision>6</cp:revision>
  <cp:lastPrinted>2021-09-12T10:20:00Z</cp:lastPrinted>
  <dcterms:created xsi:type="dcterms:W3CDTF">2021-09-12T10:30:00Z</dcterms:created>
  <dcterms:modified xsi:type="dcterms:W3CDTF">2021-09-12T19:26:00Z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0x0101002C3C6231364C36449CE3189449B2CD00</vt:lpwstr>
  </property>
</Properties>
</file>