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75" w:rsidRDefault="008D7E75" w:rsidP="008D7E75">
      <w:pPr>
        <w:jc w:val="center"/>
        <w:rPr>
          <w:sz w:val="32"/>
          <w:szCs w:val="32"/>
        </w:rPr>
      </w:pPr>
      <w:r>
        <w:rPr>
          <w:sz w:val="32"/>
          <w:szCs w:val="32"/>
        </w:rPr>
        <w:t>Syllabus for Course</w:t>
      </w:r>
    </w:p>
    <w:p w:rsidR="008D7E75" w:rsidRPr="000B2F75" w:rsidRDefault="008D7E75" w:rsidP="008D7E75">
      <w:pPr>
        <w:jc w:val="center"/>
        <w:rPr>
          <w:sz w:val="32"/>
          <w:szCs w:val="32"/>
        </w:rPr>
      </w:pPr>
    </w:p>
    <w:p w:rsidR="008D7E75" w:rsidRPr="00C43E79" w:rsidRDefault="008D7E75" w:rsidP="008D7E75">
      <w:pPr>
        <w:rPr>
          <w:sz w:val="32"/>
          <w:szCs w:val="32"/>
        </w:rPr>
      </w:pPr>
      <w:r w:rsidRPr="00C43E79">
        <w:rPr>
          <w:sz w:val="32"/>
          <w:szCs w:val="32"/>
        </w:rPr>
        <w:t>COURSE TITLE: Transitional Justice in the 21</w:t>
      </w:r>
      <w:r w:rsidRPr="00C43E79">
        <w:rPr>
          <w:sz w:val="32"/>
          <w:szCs w:val="32"/>
          <w:vertAlign w:val="superscript"/>
        </w:rPr>
        <w:t>st</w:t>
      </w:r>
      <w:r w:rsidRPr="00C43E79">
        <w:rPr>
          <w:sz w:val="32"/>
          <w:szCs w:val="32"/>
        </w:rPr>
        <w:t xml:space="preserve"> Century</w:t>
      </w:r>
    </w:p>
    <w:p w:rsidR="008D7E75" w:rsidRPr="00C43E79" w:rsidRDefault="008D7E75" w:rsidP="008D7E75">
      <w:pPr>
        <w:rPr>
          <w:sz w:val="32"/>
          <w:szCs w:val="32"/>
        </w:rPr>
      </w:pPr>
      <w:r w:rsidRPr="00C43E79">
        <w:rPr>
          <w:sz w:val="32"/>
          <w:szCs w:val="32"/>
        </w:rPr>
        <w:t>Instructor: David Tolbert</w:t>
      </w:r>
    </w:p>
    <w:p w:rsidR="00F974E7" w:rsidRPr="00C43E79" w:rsidRDefault="008D7E75" w:rsidP="008D7E75">
      <w:pPr>
        <w:rPr>
          <w:sz w:val="32"/>
          <w:szCs w:val="32"/>
        </w:rPr>
      </w:pPr>
      <w:r w:rsidRPr="00C43E79">
        <w:rPr>
          <w:sz w:val="32"/>
          <w:szCs w:val="32"/>
        </w:rPr>
        <w:t xml:space="preserve">Title Department:  </w:t>
      </w:r>
      <w:r w:rsidR="00F974E7" w:rsidRPr="00C43E79">
        <w:rPr>
          <w:sz w:val="32"/>
          <w:szCs w:val="32"/>
        </w:rPr>
        <w:t>SPP</w:t>
      </w:r>
    </w:p>
    <w:p w:rsidR="00F974E7" w:rsidRPr="00C43E79" w:rsidRDefault="00F974E7" w:rsidP="008D7E75">
      <w:pPr>
        <w:rPr>
          <w:sz w:val="32"/>
          <w:szCs w:val="32"/>
        </w:rPr>
      </w:pPr>
      <w:r w:rsidRPr="00C43E79">
        <w:rPr>
          <w:sz w:val="32"/>
          <w:szCs w:val="32"/>
        </w:rPr>
        <w:t xml:space="preserve">Spring </w:t>
      </w:r>
      <w:r w:rsidR="009F68BA">
        <w:rPr>
          <w:sz w:val="32"/>
          <w:szCs w:val="32"/>
        </w:rPr>
        <w:t>term</w:t>
      </w:r>
      <w:r w:rsidR="008D7E75" w:rsidRPr="00C43E79">
        <w:rPr>
          <w:sz w:val="32"/>
          <w:szCs w:val="32"/>
        </w:rPr>
        <w:t xml:space="preserve"> </w:t>
      </w:r>
    </w:p>
    <w:p w:rsidR="00F974E7" w:rsidRPr="00C43E79" w:rsidRDefault="00F974E7" w:rsidP="008D7E75">
      <w:pPr>
        <w:rPr>
          <w:sz w:val="32"/>
          <w:szCs w:val="32"/>
        </w:rPr>
      </w:pPr>
      <w:r w:rsidRPr="00C43E79">
        <w:rPr>
          <w:sz w:val="32"/>
          <w:szCs w:val="32"/>
        </w:rPr>
        <w:t xml:space="preserve">AY </w:t>
      </w:r>
      <w:r w:rsidR="008D7E75" w:rsidRPr="00C43E79">
        <w:rPr>
          <w:sz w:val="32"/>
          <w:szCs w:val="32"/>
        </w:rPr>
        <w:t>year</w:t>
      </w:r>
      <w:r w:rsidRPr="00C43E79">
        <w:rPr>
          <w:sz w:val="32"/>
          <w:szCs w:val="32"/>
        </w:rPr>
        <w:t xml:space="preserve"> 2019-20</w:t>
      </w:r>
    </w:p>
    <w:p w:rsidR="00F974E7" w:rsidRPr="00C43E79" w:rsidRDefault="008D7E75" w:rsidP="008D7E75">
      <w:pPr>
        <w:rPr>
          <w:sz w:val="32"/>
          <w:szCs w:val="32"/>
        </w:rPr>
      </w:pPr>
      <w:r w:rsidRPr="00C43E79">
        <w:rPr>
          <w:sz w:val="32"/>
          <w:szCs w:val="32"/>
        </w:rPr>
        <w:t>Course level (MA</w:t>
      </w:r>
      <w:r w:rsidR="00F974E7" w:rsidRPr="00C43E79">
        <w:rPr>
          <w:sz w:val="32"/>
          <w:szCs w:val="32"/>
        </w:rPr>
        <w:t xml:space="preserve">) </w:t>
      </w:r>
    </w:p>
    <w:p w:rsidR="008D7E75" w:rsidRPr="00C43E79" w:rsidRDefault="008D7E75" w:rsidP="008D7E75">
      <w:pPr>
        <w:rPr>
          <w:sz w:val="32"/>
          <w:szCs w:val="32"/>
        </w:rPr>
      </w:pPr>
      <w:r w:rsidRPr="00C43E79">
        <w:rPr>
          <w:sz w:val="32"/>
          <w:szCs w:val="32"/>
        </w:rPr>
        <w:t xml:space="preserve">No. of Credits </w:t>
      </w:r>
      <w:r w:rsidR="00F974E7" w:rsidRPr="00C43E79">
        <w:rPr>
          <w:sz w:val="32"/>
          <w:szCs w:val="32"/>
        </w:rPr>
        <w:t xml:space="preserve">2 </w:t>
      </w:r>
      <w:r w:rsidRPr="00C43E79">
        <w:rPr>
          <w:sz w:val="32"/>
          <w:szCs w:val="32"/>
        </w:rPr>
        <w:t xml:space="preserve">(No. of </w:t>
      </w:r>
      <w:r w:rsidRPr="00C43E79">
        <w:rPr>
          <w:b/>
          <w:sz w:val="32"/>
          <w:szCs w:val="32"/>
        </w:rPr>
        <w:t>ECTS Credits</w:t>
      </w:r>
      <w:r w:rsidRPr="00C43E79">
        <w:rPr>
          <w:sz w:val="32"/>
          <w:szCs w:val="32"/>
        </w:rPr>
        <w:t>):</w:t>
      </w:r>
      <w:r w:rsidR="00F974E7" w:rsidRPr="00C43E79">
        <w:rPr>
          <w:sz w:val="32"/>
          <w:szCs w:val="32"/>
        </w:rPr>
        <w:t xml:space="preserve"> 4</w:t>
      </w:r>
    </w:p>
    <w:p w:rsidR="008D7E75" w:rsidRPr="00C43E79" w:rsidRDefault="008D7E75" w:rsidP="008D7E75">
      <w:pPr>
        <w:rPr>
          <w:sz w:val="32"/>
          <w:szCs w:val="32"/>
        </w:rPr>
      </w:pPr>
      <w:r w:rsidRPr="00C43E79">
        <w:rPr>
          <w:sz w:val="32"/>
          <w:szCs w:val="32"/>
        </w:rPr>
        <w:t xml:space="preserve">Office hours: </w:t>
      </w:r>
      <w:r w:rsidR="00F974E7" w:rsidRPr="00C43E79">
        <w:rPr>
          <w:sz w:val="32"/>
          <w:szCs w:val="32"/>
        </w:rPr>
        <w:t>upon agreement</w:t>
      </w:r>
    </w:p>
    <w:p w:rsidR="008D7E75" w:rsidRPr="00C43E79" w:rsidRDefault="008D7E75" w:rsidP="008D7E75">
      <w:pPr>
        <w:shd w:val="clear" w:color="auto" w:fill="FFFFFF"/>
        <w:spacing w:after="0" w:line="240" w:lineRule="auto"/>
        <w:rPr>
          <w:rFonts w:ascii="Calibri" w:eastAsia="Times New Roman" w:hAnsi="Calibri" w:cs="Open Sans"/>
          <w:b/>
          <w:bCs/>
          <w:color w:val="000000"/>
          <w:sz w:val="32"/>
          <w:szCs w:val="32"/>
        </w:rPr>
      </w:pPr>
      <w:r w:rsidRPr="00C43E79">
        <w:rPr>
          <w:sz w:val="32"/>
          <w:szCs w:val="32"/>
        </w:rPr>
        <w:t>Course Description:</w:t>
      </w:r>
    </w:p>
    <w:p w:rsidR="008D7E75" w:rsidRPr="00C43E79" w:rsidRDefault="008D7E75" w:rsidP="008D7E75">
      <w:pPr>
        <w:shd w:val="clear" w:color="auto" w:fill="FFFFFF"/>
        <w:spacing w:before="360" w:after="360" w:line="240" w:lineRule="auto"/>
        <w:ind w:firstLine="720"/>
        <w:jc w:val="both"/>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This course provides an introduction to the concept and development of transitional justice (‘TJ’), including the principal justice mechanisms developed and implemented by some countries following massive human rights abuses and/or armed conflict.  These processes include a number of special measures, notably truth commissions, specialized criminal courts (often with the deployment of international judges, prosecutors and staff), reparations processes a</w:t>
      </w:r>
      <w:r w:rsidR="00F12FD2">
        <w:rPr>
          <w:rFonts w:ascii="Calibri" w:eastAsia="Times New Roman" w:hAnsi="Calibri" w:cs="Open Sans"/>
          <w:color w:val="000000"/>
          <w:sz w:val="32"/>
          <w:szCs w:val="32"/>
        </w:rPr>
        <w:t xml:space="preserve">nd reforms (e.g. vetting out </w:t>
      </w:r>
      <w:r w:rsidRPr="00C43E79">
        <w:rPr>
          <w:rFonts w:ascii="Calibri" w:eastAsia="Times New Roman" w:hAnsi="Calibri" w:cs="Open Sans"/>
          <w:color w:val="000000"/>
          <w:sz w:val="32"/>
          <w:szCs w:val="32"/>
        </w:rPr>
        <w:t>human rights violators from law enforcement and the military, the adoption of constitutional protections).  Broadly speaking, these processes are based on principles of accountability and redress and ultimately aim to assist rebuilding trust in institutions and between citizens and the state. TJ is grounded in modern human rights law.</w:t>
      </w:r>
    </w:p>
    <w:p w:rsidR="008D7E75" w:rsidRPr="00C43E79" w:rsidRDefault="008D7E75" w:rsidP="008D7E75">
      <w:pPr>
        <w:shd w:val="clear" w:color="auto" w:fill="FFFFFF"/>
        <w:spacing w:before="360" w:after="360" w:line="240" w:lineRule="auto"/>
        <w:ind w:firstLine="720"/>
        <w:jc w:val="both"/>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This course offers an overview of the actors, organizations, countries and institutions</w:t>
      </w:r>
      <w:r w:rsidR="00EF4A1D">
        <w:rPr>
          <w:rFonts w:ascii="Calibri" w:eastAsia="Times New Roman" w:hAnsi="Calibri" w:cs="Open Sans"/>
          <w:color w:val="000000"/>
          <w:sz w:val="32"/>
          <w:szCs w:val="32"/>
        </w:rPr>
        <w:t xml:space="preserve"> involved </w:t>
      </w:r>
      <w:r w:rsidRPr="00C43E79">
        <w:rPr>
          <w:rFonts w:ascii="Calibri" w:eastAsia="Times New Roman" w:hAnsi="Calibri" w:cs="Open Sans"/>
          <w:color w:val="000000"/>
          <w:sz w:val="32"/>
          <w:szCs w:val="32"/>
        </w:rPr>
        <w:t xml:space="preserve">in the field of transitional justice, particularly </w:t>
      </w:r>
      <w:r w:rsidR="00EF4A1D">
        <w:rPr>
          <w:rFonts w:ascii="Calibri" w:eastAsia="Times New Roman" w:hAnsi="Calibri" w:cs="Open Sans"/>
          <w:color w:val="000000"/>
          <w:sz w:val="32"/>
          <w:szCs w:val="32"/>
        </w:rPr>
        <w:t xml:space="preserve">focusing on </w:t>
      </w:r>
      <w:r w:rsidRPr="00C43E79">
        <w:rPr>
          <w:rFonts w:ascii="Calibri" w:eastAsia="Times New Roman" w:hAnsi="Calibri" w:cs="Open Sans"/>
          <w:color w:val="000000"/>
          <w:sz w:val="32"/>
          <w:szCs w:val="32"/>
        </w:rPr>
        <w:t>policy developments in the United Nations and other intergovernmental (e.g., EU) institutions. It will look at some of the most recent trends in the TJ field and the criticisms that are made of transitional justice processes, both in practice and on a theoretical basis. The course is intended to provide a platform on which further, more specialized, studies can be carried out, particularly in the area of policy.</w:t>
      </w:r>
    </w:p>
    <w:p w:rsidR="008D7E75" w:rsidRPr="00C43E79" w:rsidRDefault="008D7E75" w:rsidP="008D7E75">
      <w:pPr>
        <w:rPr>
          <w:sz w:val="32"/>
          <w:szCs w:val="32"/>
        </w:rPr>
      </w:pPr>
      <w:r w:rsidRPr="00C43E79">
        <w:rPr>
          <w:sz w:val="32"/>
          <w:szCs w:val="32"/>
        </w:rPr>
        <w:t xml:space="preserve">Learning Outcomes: </w:t>
      </w:r>
    </w:p>
    <w:p w:rsidR="008D7E75" w:rsidRPr="00C43E79" w:rsidRDefault="008D7E75" w:rsidP="008D7E75">
      <w:pPr>
        <w:shd w:val="clear" w:color="auto" w:fill="FFFFFF"/>
        <w:spacing w:after="360"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After the successful completion of the course, the students should be able to:</w:t>
      </w:r>
    </w:p>
    <w:p w:rsidR="008D7E75" w:rsidRPr="00C43E79" w:rsidRDefault="008D7E75" w:rsidP="008D7E75">
      <w:pPr>
        <w:numPr>
          <w:ilvl w:val="0"/>
          <w:numId w:val="1"/>
        </w:numPr>
        <w:shd w:val="clear" w:color="auto" w:fill="FFFFFF"/>
        <w:tabs>
          <w:tab w:val="clear" w:pos="720"/>
          <w:tab w:val="num" w:pos="1080"/>
        </w:tabs>
        <w:spacing w:before="100" w:beforeAutospacing="1" w:after="100" w:afterAutospacing="1"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Recognize the main actors and policy challenges in the TJ field;</w:t>
      </w:r>
    </w:p>
    <w:p w:rsidR="008D7E75" w:rsidRPr="00C43E79" w:rsidRDefault="008D7E75" w:rsidP="008D7E75">
      <w:pPr>
        <w:numPr>
          <w:ilvl w:val="0"/>
          <w:numId w:val="1"/>
        </w:numPr>
        <w:shd w:val="clear" w:color="auto" w:fill="FFFFFF"/>
        <w:tabs>
          <w:tab w:val="clear" w:pos="720"/>
          <w:tab w:val="num" w:pos="1080"/>
        </w:tabs>
        <w:spacing w:before="100" w:beforeAutospacing="1" w:after="100" w:afterAutospacing="1"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Analyze and explain the dynamics shaping TJ both on the ground in countries and in policy circles and related contexts;</w:t>
      </w:r>
    </w:p>
    <w:p w:rsidR="008D7E75" w:rsidRPr="00C43E79" w:rsidRDefault="008D7E75" w:rsidP="008D7E75">
      <w:pPr>
        <w:numPr>
          <w:ilvl w:val="0"/>
          <w:numId w:val="1"/>
        </w:numPr>
        <w:shd w:val="clear" w:color="auto" w:fill="FFFFFF"/>
        <w:tabs>
          <w:tab w:val="clear" w:pos="720"/>
          <w:tab w:val="num" w:pos="1080"/>
        </w:tabs>
        <w:spacing w:before="100" w:beforeAutospacing="1" w:after="100" w:afterAutospacing="1"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Understand and critically assess TJ policies and implementation of TJ processes;</w:t>
      </w:r>
    </w:p>
    <w:p w:rsidR="008D7E75" w:rsidRPr="00C43E79" w:rsidRDefault="008D7E75" w:rsidP="008D7E75">
      <w:pPr>
        <w:numPr>
          <w:ilvl w:val="0"/>
          <w:numId w:val="1"/>
        </w:numPr>
        <w:shd w:val="clear" w:color="auto" w:fill="FFFFFF"/>
        <w:tabs>
          <w:tab w:val="clear" w:pos="720"/>
          <w:tab w:val="num" w:pos="1080"/>
        </w:tabs>
        <w:spacing w:before="100" w:beforeAutospacing="1" w:after="100" w:afterAutospacing="1"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Develop, or participate in</w:t>
      </w:r>
      <w:r w:rsidR="00EF4A1D">
        <w:rPr>
          <w:rFonts w:ascii="Calibri" w:eastAsia="Times New Roman" w:hAnsi="Calibri" w:cs="Open Sans"/>
          <w:color w:val="000000"/>
          <w:sz w:val="32"/>
          <w:szCs w:val="32"/>
        </w:rPr>
        <w:t>,</w:t>
      </w:r>
      <w:r w:rsidRPr="00C43E79">
        <w:rPr>
          <w:rFonts w:ascii="Calibri" w:eastAsia="Times New Roman" w:hAnsi="Calibri" w:cs="Open Sans"/>
          <w:color w:val="000000"/>
          <w:sz w:val="32"/>
          <w:szCs w:val="32"/>
        </w:rPr>
        <w:t xml:space="preserve"> work aiming at developing alternative solutions to specific justice issues and problems;</w:t>
      </w:r>
    </w:p>
    <w:p w:rsidR="008D7E75" w:rsidRPr="00C43E79" w:rsidRDefault="008D7E75" w:rsidP="008D7E75">
      <w:pPr>
        <w:numPr>
          <w:ilvl w:val="0"/>
          <w:numId w:val="1"/>
        </w:numPr>
        <w:shd w:val="clear" w:color="auto" w:fill="FFFFFF"/>
        <w:tabs>
          <w:tab w:val="clear" w:pos="720"/>
          <w:tab w:val="num" w:pos="1080"/>
        </w:tabs>
        <w:spacing w:before="100" w:beforeAutospacing="1" w:after="100" w:afterAutospacing="1"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Critically assess arguments/material that put forward various propositions relating to TJ and its development;</w:t>
      </w:r>
    </w:p>
    <w:p w:rsidR="008D7E75" w:rsidRPr="00C43E79" w:rsidRDefault="008D7E75" w:rsidP="008D7E75">
      <w:pPr>
        <w:numPr>
          <w:ilvl w:val="0"/>
          <w:numId w:val="1"/>
        </w:numPr>
        <w:shd w:val="clear" w:color="auto" w:fill="FFFFFF"/>
        <w:tabs>
          <w:tab w:val="clear" w:pos="720"/>
          <w:tab w:val="num" w:pos="1080"/>
        </w:tabs>
        <w:spacing w:before="100" w:beforeAutospacing="1" w:after="100" w:afterAutospacing="1" w:line="240" w:lineRule="auto"/>
        <w:ind w:left="360"/>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Assess the role TJ might or might not play in the current global political climate.</w:t>
      </w:r>
    </w:p>
    <w:p w:rsidR="008D7E75" w:rsidRPr="00C43E79" w:rsidRDefault="008D7E75" w:rsidP="008D7E75">
      <w:pPr>
        <w:shd w:val="clear" w:color="auto" w:fill="FFFFFF"/>
        <w:spacing w:after="0" w:line="240" w:lineRule="auto"/>
        <w:rPr>
          <w:rFonts w:ascii="Calibri" w:eastAsia="Times New Roman" w:hAnsi="Calibri" w:cs="Open Sans"/>
          <w:bCs/>
          <w:color w:val="000000"/>
          <w:sz w:val="32"/>
          <w:szCs w:val="32"/>
        </w:rPr>
      </w:pPr>
      <w:r w:rsidRPr="00C43E79">
        <w:rPr>
          <w:rFonts w:ascii="Calibri" w:eastAsia="Times New Roman" w:hAnsi="Calibri" w:cs="Open Sans"/>
          <w:bCs/>
          <w:color w:val="000000"/>
          <w:sz w:val="32"/>
          <w:szCs w:val="32"/>
        </w:rPr>
        <w:t>Assessment:</w:t>
      </w:r>
    </w:p>
    <w:p w:rsidR="008D7E75" w:rsidRPr="00C43E79" w:rsidRDefault="008D7E75" w:rsidP="008D7E75">
      <w:pPr>
        <w:shd w:val="clear" w:color="auto" w:fill="FFFFFF"/>
        <w:spacing w:after="0" w:line="240" w:lineRule="auto"/>
        <w:rPr>
          <w:rFonts w:ascii="Calibri" w:eastAsia="Times New Roman" w:hAnsi="Calibri" w:cs="Open Sans"/>
          <w:b/>
          <w:bCs/>
          <w:color w:val="000000"/>
          <w:sz w:val="32"/>
          <w:szCs w:val="32"/>
        </w:rPr>
      </w:pPr>
    </w:p>
    <w:p w:rsidR="008D7E75" w:rsidRPr="00C43E79" w:rsidRDefault="008D7E75" w:rsidP="008D7E75">
      <w:pPr>
        <w:shd w:val="clear" w:color="auto" w:fill="FFFFFF"/>
        <w:spacing w:after="0" w:line="240" w:lineRule="auto"/>
        <w:rPr>
          <w:rFonts w:ascii="Calibri" w:eastAsia="Times New Roman" w:hAnsi="Calibri" w:cs="Open Sans"/>
          <w:b/>
          <w:bCs/>
          <w:color w:val="000000"/>
          <w:sz w:val="32"/>
          <w:szCs w:val="32"/>
        </w:rPr>
      </w:pPr>
      <w:r w:rsidRPr="00C43E79">
        <w:rPr>
          <w:rFonts w:ascii="Calibri" w:eastAsia="Times New Roman" w:hAnsi="Calibri" w:cs="Open Sans"/>
          <w:color w:val="000000"/>
          <w:sz w:val="32"/>
          <w:szCs w:val="32"/>
        </w:rPr>
        <w:t>The students will be assessed according to the combination of the following criteria:</w:t>
      </w:r>
    </w:p>
    <w:p w:rsidR="008D7E75" w:rsidRPr="00C43E79" w:rsidRDefault="008D7E75" w:rsidP="008D7E75">
      <w:pPr>
        <w:pStyle w:val="ListParagraph"/>
        <w:numPr>
          <w:ilvl w:val="0"/>
          <w:numId w:val="2"/>
        </w:numPr>
        <w:shd w:val="clear" w:color="auto" w:fill="FFFFFF"/>
        <w:spacing w:before="360" w:after="360" w:line="240" w:lineRule="auto"/>
        <w:rPr>
          <w:rFonts w:ascii="Calibri" w:eastAsia="Times New Roman" w:hAnsi="Calibri" w:cs="Open Sans"/>
          <w:color w:val="000000"/>
          <w:sz w:val="32"/>
          <w:szCs w:val="32"/>
        </w:rPr>
      </w:pPr>
      <w:r w:rsidRPr="00C43E79">
        <w:rPr>
          <w:rFonts w:ascii="Calibri" w:eastAsia="Times New Roman" w:hAnsi="Calibri" w:cs="Open Sans"/>
          <w:i/>
          <w:iCs/>
          <w:color w:val="000000"/>
          <w:sz w:val="32"/>
          <w:szCs w:val="32"/>
        </w:rPr>
        <w:t>Class participation and pre-session assignments: 40%</w:t>
      </w:r>
    </w:p>
    <w:p w:rsidR="008D7E75" w:rsidRPr="00C43E79" w:rsidRDefault="008D7E75" w:rsidP="008D7E75">
      <w:pPr>
        <w:shd w:val="clear" w:color="auto" w:fill="FFFFFF"/>
        <w:spacing w:before="360" w:after="360" w:line="240" w:lineRule="auto"/>
        <w:ind w:left="360"/>
        <w:jc w:val="both"/>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Students will be expected to fulfil pre-session assignments as listed in the course schedule. The pre-session assignments can include the requirement to read the mandatory readings and be ready to discuss them during the sessions, identify specific materials or develop short presentations on a topic relevant for the session, and also review, comment, or participate in online discussion posted to the course’s e-learning site.</w:t>
      </w:r>
    </w:p>
    <w:p w:rsidR="008D7E75" w:rsidRPr="00C43E79" w:rsidRDefault="008D7E75" w:rsidP="008D7E75">
      <w:pPr>
        <w:pStyle w:val="ListParagraph"/>
        <w:numPr>
          <w:ilvl w:val="0"/>
          <w:numId w:val="2"/>
        </w:numPr>
        <w:shd w:val="clear" w:color="auto" w:fill="FFFFFF"/>
        <w:spacing w:before="360" w:after="360" w:line="240" w:lineRule="auto"/>
        <w:rPr>
          <w:rFonts w:ascii="Calibri" w:eastAsia="Times New Roman" w:hAnsi="Calibri" w:cs="Open Sans"/>
          <w:color w:val="000000"/>
          <w:sz w:val="32"/>
          <w:szCs w:val="32"/>
        </w:rPr>
      </w:pPr>
      <w:r w:rsidRPr="00C43E79">
        <w:rPr>
          <w:rFonts w:ascii="Calibri" w:eastAsia="Times New Roman" w:hAnsi="Calibri" w:cs="Open Sans"/>
          <w:i/>
          <w:iCs/>
          <w:color w:val="000000"/>
          <w:sz w:val="32"/>
          <w:szCs w:val="32"/>
        </w:rPr>
        <w:t>Policy brief and literature review: 20%</w:t>
      </w:r>
    </w:p>
    <w:p w:rsidR="008D7E75" w:rsidRPr="00C43E79" w:rsidRDefault="008D7E75" w:rsidP="008D7E75">
      <w:pPr>
        <w:shd w:val="clear" w:color="auto" w:fill="FFFFFF"/>
        <w:spacing w:before="360" w:after="360" w:line="240" w:lineRule="auto"/>
        <w:ind w:left="360"/>
        <w:jc w:val="both"/>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 xml:space="preserve">Each student will need to prepare and present a short policy brief, including a related literature review. This could be about an organization/institution, a specific policy area or situation, an emerging trend. The brief should include a review of relevant scholarly literature based on 5-7 research articles or studies. Students can propose their own topics in discussion with the instructor. The policy briefs are expected to be about 2000 words long and need to be handed in before session </w:t>
      </w:r>
      <w:r w:rsidR="00402B90">
        <w:rPr>
          <w:rFonts w:ascii="Calibri" w:eastAsia="Times New Roman" w:hAnsi="Calibri" w:cs="Open Sans"/>
          <w:color w:val="000000"/>
          <w:sz w:val="32"/>
          <w:szCs w:val="32"/>
        </w:rPr>
        <w:t>6.</w:t>
      </w:r>
      <w:r w:rsidRPr="00C43E79">
        <w:rPr>
          <w:rFonts w:ascii="Calibri" w:eastAsia="Times New Roman" w:hAnsi="Calibri" w:cs="Open Sans"/>
          <w:color w:val="000000"/>
          <w:sz w:val="32"/>
          <w:szCs w:val="32"/>
        </w:rPr>
        <w:t xml:space="preserve"> Each student will have about 20 minutes during </w:t>
      </w:r>
      <w:r w:rsidR="00D21B68">
        <w:rPr>
          <w:rFonts w:ascii="Calibri" w:eastAsia="Times New Roman" w:hAnsi="Calibri" w:cs="Open Sans"/>
          <w:color w:val="000000"/>
          <w:sz w:val="32"/>
          <w:szCs w:val="32"/>
        </w:rPr>
        <w:t xml:space="preserve">classes </w:t>
      </w:r>
      <w:r w:rsidR="00F12FD2">
        <w:rPr>
          <w:rFonts w:ascii="Calibri" w:eastAsia="Times New Roman" w:hAnsi="Calibri" w:cs="Open Sans"/>
          <w:color w:val="000000"/>
          <w:sz w:val="32"/>
          <w:szCs w:val="32"/>
        </w:rPr>
        <w:t>6</w:t>
      </w:r>
      <w:r w:rsidRPr="00C43E79">
        <w:rPr>
          <w:rFonts w:ascii="Calibri" w:eastAsia="Times New Roman" w:hAnsi="Calibri" w:cs="Open Sans"/>
          <w:color w:val="000000"/>
          <w:sz w:val="32"/>
          <w:szCs w:val="32"/>
        </w:rPr>
        <w:t xml:space="preserve"> and </w:t>
      </w:r>
      <w:r w:rsidR="00F12FD2">
        <w:rPr>
          <w:rFonts w:ascii="Calibri" w:eastAsia="Times New Roman" w:hAnsi="Calibri" w:cs="Open Sans"/>
          <w:color w:val="000000"/>
          <w:sz w:val="32"/>
          <w:szCs w:val="32"/>
        </w:rPr>
        <w:t>7</w:t>
      </w:r>
      <w:r w:rsidRPr="00C43E79">
        <w:rPr>
          <w:rFonts w:ascii="Calibri" w:eastAsia="Times New Roman" w:hAnsi="Calibri" w:cs="Open Sans"/>
          <w:color w:val="000000"/>
          <w:sz w:val="32"/>
          <w:szCs w:val="32"/>
        </w:rPr>
        <w:t xml:space="preserve"> to present their work to the class. </w:t>
      </w:r>
    </w:p>
    <w:p w:rsidR="008D7E75" w:rsidRPr="00C43E79" w:rsidRDefault="008D7E75" w:rsidP="008D7E75">
      <w:pPr>
        <w:pStyle w:val="ListParagraph"/>
        <w:numPr>
          <w:ilvl w:val="0"/>
          <w:numId w:val="2"/>
        </w:numPr>
        <w:shd w:val="clear" w:color="auto" w:fill="FFFFFF"/>
        <w:spacing w:before="360" w:after="360" w:line="240" w:lineRule="auto"/>
        <w:rPr>
          <w:rFonts w:ascii="Calibri" w:eastAsia="Times New Roman" w:hAnsi="Calibri" w:cs="Open Sans"/>
          <w:color w:val="000000"/>
          <w:sz w:val="32"/>
          <w:szCs w:val="32"/>
        </w:rPr>
      </w:pPr>
      <w:r w:rsidRPr="00C43E79">
        <w:rPr>
          <w:rFonts w:ascii="Calibri" w:eastAsia="Times New Roman" w:hAnsi="Calibri" w:cs="Open Sans"/>
          <w:i/>
          <w:iCs/>
          <w:color w:val="000000"/>
          <w:sz w:val="32"/>
          <w:szCs w:val="32"/>
        </w:rPr>
        <w:t>Final project: 40%</w:t>
      </w:r>
    </w:p>
    <w:p w:rsidR="008D7E75" w:rsidRPr="00C43E79" w:rsidRDefault="008D7E75" w:rsidP="008D7E75">
      <w:pPr>
        <w:shd w:val="clear" w:color="auto" w:fill="FFFFFF"/>
        <w:spacing w:before="360" w:after="360" w:line="240" w:lineRule="auto"/>
        <w:ind w:left="360"/>
        <w:jc w:val="both"/>
        <w:rPr>
          <w:rFonts w:ascii="Calibri" w:eastAsia="Times New Roman" w:hAnsi="Calibri" w:cs="Open Sans"/>
          <w:color w:val="000000"/>
          <w:sz w:val="32"/>
          <w:szCs w:val="32"/>
        </w:rPr>
      </w:pPr>
      <w:r w:rsidRPr="00C43E79">
        <w:rPr>
          <w:rFonts w:ascii="Calibri" w:eastAsia="Times New Roman" w:hAnsi="Calibri" w:cs="Open Sans"/>
          <w:color w:val="000000"/>
          <w:sz w:val="32"/>
          <w:szCs w:val="32"/>
        </w:rPr>
        <w:t xml:space="preserve">Students, either individually or in a group, will choose a policy topic which will be presented orally </w:t>
      </w:r>
      <w:r w:rsidR="00402B90">
        <w:rPr>
          <w:rFonts w:ascii="Calibri" w:eastAsia="Times New Roman" w:hAnsi="Calibri" w:cs="Open Sans"/>
          <w:color w:val="000000"/>
          <w:sz w:val="32"/>
          <w:szCs w:val="32"/>
        </w:rPr>
        <w:t xml:space="preserve">during </w:t>
      </w:r>
      <w:r w:rsidR="00F12FD2">
        <w:rPr>
          <w:rFonts w:ascii="Calibri" w:eastAsia="Times New Roman" w:hAnsi="Calibri" w:cs="Open Sans"/>
          <w:color w:val="000000"/>
          <w:sz w:val="32"/>
          <w:szCs w:val="32"/>
        </w:rPr>
        <w:t xml:space="preserve">classes 10 and 11 </w:t>
      </w:r>
      <w:r w:rsidRPr="00C43E79">
        <w:rPr>
          <w:rFonts w:ascii="Calibri" w:eastAsia="Times New Roman" w:hAnsi="Calibri" w:cs="Open Sans"/>
          <w:color w:val="000000"/>
          <w:sz w:val="32"/>
          <w:szCs w:val="32"/>
        </w:rPr>
        <w:t>and as a final written report (3500-4000 words) that is to be handed in after the course ends (specific date will be defined during class).  It will involve approaching a past or present situation regarding a country going through a transition and must include elements of a policy proposal. That is, it should contain a clear problem(s) definition, based on secondary (i.e. literature) and/or primary data drawn from sources or interviews for example. Based on the problem(s) definition sev</w:t>
      </w:r>
      <w:r w:rsidR="00402B90">
        <w:rPr>
          <w:rFonts w:ascii="Calibri" w:eastAsia="Times New Roman" w:hAnsi="Calibri" w:cs="Open Sans"/>
          <w:color w:val="000000"/>
          <w:sz w:val="32"/>
          <w:szCs w:val="32"/>
        </w:rPr>
        <w:t xml:space="preserve">eral policy solutions </w:t>
      </w:r>
      <w:r w:rsidRPr="00C43E79">
        <w:rPr>
          <w:rFonts w:ascii="Calibri" w:eastAsia="Times New Roman" w:hAnsi="Calibri" w:cs="Open Sans"/>
          <w:color w:val="000000"/>
          <w:sz w:val="32"/>
          <w:szCs w:val="32"/>
        </w:rPr>
        <w:t>formulated and assessed according to different criteria. After identifying the best policy solution, the paper should elaborate on the mechanisms/instruments by which it could be implemented.</w:t>
      </w:r>
    </w:p>
    <w:p w:rsidR="00C43E79" w:rsidRDefault="00C43E79" w:rsidP="008D7E75">
      <w:pPr>
        <w:rPr>
          <w:sz w:val="32"/>
          <w:szCs w:val="32"/>
        </w:rPr>
      </w:pPr>
    </w:p>
    <w:p w:rsidR="008D7E75" w:rsidRPr="00C43E79" w:rsidRDefault="008D7E75" w:rsidP="008D7E75">
      <w:pPr>
        <w:rPr>
          <w:sz w:val="32"/>
          <w:szCs w:val="32"/>
        </w:rPr>
      </w:pPr>
      <w:r w:rsidRPr="00C43E79">
        <w:rPr>
          <w:sz w:val="32"/>
          <w:szCs w:val="32"/>
        </w:rPr>
        <w:t>COURSE SCHEDULE</w:t>
      </w:r>
    </w:p>
    <w:p w:rsidR="00F974E7" w:rsidRPr="00C43E79" w:rsidRDefault="00387CB1" w:rsidP="008D7E75">
      <w:pPr>
        <w:rPr>
          <w:sz w:val="32"/>
          <w:szCs w:val="32"/>
        </w:rPr>
      </w:pPr>
      <w:r w:rsidRPr="00C43E79">
        <w:rPr>
          <w:sz w:val="32"/>
          <w:szCs w:val="32"/>
        </w:rPr>
        <w:t xml:space="preserve">6 </w:t>
      </w:r>
      <w:r w:rsidR="00F974E7" w:rsidRPr="00C43E79">
        <w:rPr>
          <w:sz w:val="32"/>
          <w:szCs w:val="32"/>
        </w:rPr>
        <w:t>April, Monday Class 1-2</w:t>
      </w:r>
    </w:p>
    <w:p w:rsidR="00F974E7" w:rsidRPr="00C43E79" w:rsidRDefault="00387CB1" w:rsidP="008D7E75">
      <w:pPr>
        <w:rPr>
          <w:sz w:val="32"/>
          <w:szCs w:val="32"/>
        </w:rPr>
      </w:pPr>
      <w:r w:rsidRPr="00C43E79">
        <w:rPr>
          <w:sz w:val="32"/>
          <w:szCs w:val="32"/>
        </w:rPr>
        <w:t xml:space="preserve">14 </w:t>
      </w:r>
      <w:r w:rsidR="00F974E7" w:rsidRPr="00C43E79">
        <w:rPr>
          <w:sz w:val="32"/>
          <w:szCs w:val="32"/>
        </w:rPr>
        <w:t>April, Tuesday Class 3-4</w:t>
      </w:r>
    </w:p>
    <w:p w:rsidR="00F974E7" w:rsidRPr="00C43E79" w:rsidRDefault="00387CB1" w:rsidP="008D7E75">
      <w:pPr>
        <w:rPr>
          <w:sz w:val="32"/>
          <w:szCs w:val="32"/>
        </w:rPr>
      </w:pPr>
      <w:r w:rsidRPr="00C43E79">
        <w:rPr>
          <w:sz w:val="32"/>
          <w:szCs w:val="32"/>
        </w:rPr>
        <w:t xml:space="preserve">20 </w:t>
      </w:r>
      <w:r w:rsidR="00F974E7" w:rsidRPr="00C43E79">
        <w:rPr>
          <w:sz w:val="32"/>
          <w:szCs w:val="32"/>
        </w:rPr>
        <w:t>April, Monday Class 5-6</w:t>
      </w:r>
    </w:p>
    <w:p w:rsidR="00F974E7" w:rsidRPr="00C43E79" w:rsidRDefault="00387CB1" w:rsidP="008D7E75">
      <w:pPr>
        <w:rPr>
          <w:sz w:val="32"/>
          <w:szCs w:val="32"/>
        </w:rPr>
      </w:pPr>
      <w:r w:rsidRPr="00C43E79">
        <w:rPr>
          <w:sz w:val="32"/>
          <w:szCs w:val="32"/>
        </w:rPr>
        <w:t xml:space="preserve">27 </w:t>
      </w:r>
      <w:r w:rsidR="00F974E7" w:rsidRPr="00C43E79">
        <w:rPr>
          <w:sz w:val="32"/>
          <w:szCs w:val="32"/>
        </w:rPr>
        <w:t>April, Monday Class 7-8</w:t>
      </w:r>
    </w:p>
    <w:p w:rsidR="00F974E7" w:rsidRPr="00C43E79" w:rsidRDefault="00387CB1" w:rsidP="008D7E75">
      <w:pPr>
        <w:rPr>
          <w:sz w:val="32"/>
          <w:szCs w:val="32"/>
        </w:rPr>
      </w:pPr>
      <w:r w:rsidRPr="00C43E79">
        <w:rPr>
          <w:sz w:val="32"/>
          <w:szCs w:val="32"/>
        </w:rPr>
        <w:t xml:space="preserve">4 </w:t>
      </w:r>
      <w:r w:rsidR="00F974E7" w:rsidRPr="00C43E79">
        <w:rPr>
          <w:sz w:val="32"/>
          <w:szCs w:val="32"/>
        </w:rPr>
        <w:t>May, Monday Class 9-10</w:t>
      </w:r>
    </w:p>
    <w:p w:rsidR="00F974E7" w:rsidRPr="00C43E79" w:rsidRDefault="00387CB1" w:rsidP="008D7E75">
      <w:pPr>
        <w:rPr>
          <w:sz w:val="32"/>
          <w:szCs w:val="32"/>
        </w:rPr>
      </w:pPr>
      <w:r w:rsidRPr="00C43E79">
        <w:rPr>
          <w:sz w:val="32"/>
          <w:szCs w:val="32"/>
        </w:rPr>
        <w:t xml:space="preserve">11 </w:t>
      </w:r>
      <w:r w:rsidR="00F974E7" w:rsidRPr="00C43E79">
        <w:rPr>
          <w:sz w:val="32"/>
          <w:szCs w:val="32"/>
        </w:rPr>
        <w:t>May, Monday Class 11-12</w:t>
      </w:r>
    </w:p>
    <w:p w:rsidR="00387CB1" w:rsidRPr="00C43E79" w:rsidRDefault="00387CB1" w:rsidP="008D7E75">
      <w:pPr>
        <w:rPr>
          <w:sz w:val="32"/>
          <w:szCs w:val="32"/>
        </w:rPr>
      </w:pPr>
    </w:p>
    <w:p w:rsidR="00BA26A7" w:rsidRDefault="00BA26A7" w:rsidP="00891E84">
      <w:pPr>
        <w:jc w:val="center"/>
        <w:rPr>
          <w:sz w:val="32"/>
          <w:szCs w:val="32"/>
          <w:u w:val="single"/>
        </w:rPr>
      </w:pPr>
    </w:p>
    <w:p w:rsidR="00387CB1" w:rsidRDefault="00891E84" w:rsidP="00891E84">
      <w:pPr>
        <w:jc w:val="center"/>
        <w:rPr>
          <w:sz w:val="32"/>
          <w:szCs w:val="32"/>
          <w:u w:val="single"/>
        </w:rPr>
      </w:pPr>
      <w:r w:rsidRPr="00891E84">
        <w:rPr>
          <w:sz w:val="32"/>
          <w:szCs w:val="32"/>
          <w:u w:val="single"/>
        </w:rPr>
        <w:t>Classes and Readings</w:t>
      </w:r>
    </w:p>
    <w:p w:rsidR="00891E84" w:rsidRPr="00891E84" w:rsidRDefault="00891E84" w:rsidP="00891E84">
      <w:pPr>
        <w:jc w:val="center"/>
        <w:rPr>
          <w:sz w:val="32"/>
          <w:szCs w:val="32"/>
          <w:u w:val="single"/>
        </w:rPr>
      </w:pPr>
    </w:p>
    <w:p w:rsidR="008D7E75" w:rsidRDefault="00387CB1" w:rsidP="008D7E75">
      <w:pPr>
        <w:rPr>
          <w:sz w:val="32"/>
          <w:szCs w:val="32"/>
        </w:rPr>
      </w:pPr>
      <w:r>
        <w:rPr>
          <w:sz w:val="32"/>
          <w:szCs w:val="32"/>
        </w:rPr>
        <w:t xml:space="preserve">6 </w:t>
      </w:r>
      <w:r w:rsidR="008D7E75">
        <w:rPr>
          <w:sz w:val="32"/>
          <w:szCs w:val="32"/>
        </w:rPr>
        <w:t>April 2020</w:t>
      </w:r>
      <w:r>
        <w:rPr>
          <w:sz w:val="32"/>
          <w:szCs w:val="32"/>
        </w:rPr>
        <w:t xml:space="preserve">, </w:t>
      </w:r>
      <w:r w:rsidR="00891E84">
        <w:rPr>
          <w:sz w:val="32"/>
          <w:szCs w:val="32"/>
        </w:rPr>
        <w:t>Class 1 (9:00 – 10:40)</w:t>
      </w:r>
    </w:p>
    <w:p w:rsidR="008D7E75" w:rsidRDefault="008D7E75" w:rsidP="008D7E75">
      <w:pPr>
        <w:rPr>
          <w:sz w:val="32"/>
          <w:szCs w:val="32"/>
        </w:rPr>
      </w:pPr>
      <w:r>
        <w:rPr>
          <w:sz w:val="32"/>
          <w:szCs w:val="32"/>
        </w:rPr>
        <w:t>Topic: What is Transitional Justice?</w:t>
      </w:r>
    </w:p>
    <w:p w:rsidR="008D7E75" w:rsidRDefault="008D7E75" w:rsidP="008D7E75">
      <w:pPr>
        <w:jc w:val="both"/>
        <w:rPr>
          <w:sz w:val="32"/>
          <w:szCs w:val="32"/>
        </w:rPr>
      </w:pPr>
      <w:r>
        <w:rPr>
          <w:sz w:val="32"/>
          <w:szCs w:val="32"/>
        </w:rPr>
        <w:tab/>
        <w:t xml:space="preserve">This session will focus </w:t>
      </w:r>
      <w:r w:rsidR="00387CB1">
        <w:rPr>
          <w:sz w:val="32"/>
          <w:szCs w:val="32"/>
        </w:rPr>
        <w:t xml:space="preserve">on </w:t>
      </w:r>
      <w:r>
        <w:rPr>
          <w:sz w:val="32"/>
          <w:szCs w:val="32"/>
        </w:rPr>
        <w:t xml:space="preserve">what is meant by ‘transitional justice’ both from a normative perspective as defined by the United Nations (UN) and other policy makers but also how transitional justice became a ‘field’ and how it is seen by victims, experts and other groups. </w:t>
      </w:r>
    </w:p>
    <w:p w:rsidR="008D7E75" w:rsidRDefault="008D7E75" w:rsidP="008D7E75">
      <w:pPr>
        <w:rPr>
          <w:sz w:val="32"/>
          <w:szCs w:val="32"/>
        </w:rPr>
      </w:pPr>
      <w:r>
        <w:rPr>
          <w:sz w:val="32"/>
          <w:szCs w:val="32"/>
        </w:rPr>
        <w:t>Readings (required):</w:t>
      </w:r>
    </w:p>
    <w:p w:rsidR="008D7E75" w:rsidRDefault="008D7E75" w:rsidP="008D7E75">
      <w:pPr>
        <w:ind w:left="720"/>
        <w:rPr>
          <w:sz w:val="32"/>
          <w:szCs w:val="32"/>
        </w:rPr>
      </w:pPr>
      <w:r>
        <w:rPr>
          <w:sz w:val="32"/>
          <w:szCs w:val="32"/>
        </w:rPr>
        <w:t>‘Transitional Justice in the 21</w:t>
      </w:r>
      <w:r w:rsidRPr="0030630B">
        <w:rPr>
          <w:sz w:val="32"/>
          <w:szCs w:val="32"/>
          <w:vertAlign w:val="superscript"/>
        </w:rPr>
        <w:t>st</w:t>
      </w:r>
      <w:r>
        <w:rPr>
          <w:sz w:val="32"/>
          <w:szCs w:val="32"/>
        </w:rPr>
        <w:t xml:space="preserve"> Century’, in the Oxford Handbook on Atrocity Crimes (OUP, forthcoming, 2020) (to be provided)</w:t>
      </w:r>
      <w:r w:rsidR="00402B90">
        <w:rPr>
          <w:sz w:val="32"/>
          <w:szCs w:val="32"/>
        </w:rPr>
        <w:t>, pp. 1 – 20 (of manuscript)</w:t>
      </w:r>
      <w:r>
        <w:rPr>
          <w:sz w:val="32"/>
          <w:szCs w:val="32"/>
        </w:rPr>
        <w:t>.</w:t>
      </w:r>
    </w:p>
    <w:p w:rsidR="008D7E75" w:rsidRDefault="000A4374" w:rsidP="008D7E75">
      <w:pPr>
        <w:ind w:left="720"/>
        <w:rPr>
          <w:sz w:val="32"/>
          <w:szCs w:val="32"/>
        </w:rPr>
      </w:pPr>
      <w:r>
        <w:rPr>
          <w:sz w:val="32"/>
          <w:szCs w:val="32"/>
        </w:rPr>
        <w:t>‘</w:t>
      </w:r>
      <w:r w:rsidR="008D7E75">
        <w:rPr>
          <w:sz w:val="32"/>
          <w:szCs w:val="32"/>
        </w:rPr>
        <w:t>Report of the UN Secretary-General: The rule of law and transitional justice in conflict and post-conflict societies</w:t>
      </w:r>
      <w:r>
        <w:rPr>
          <w:sz w:val="32"/>
          <w:szCs w:val="32"/>
        </w:rPr>
        <w:t>’</w:t>
      </w:r>
      <w:r w:rsidR="008D7E75">
        <w:rPr>
          <w:sz w:val="32"/>
          <w:szCs w:val="32"/>
        </w:rPr>
        <w:t>,</w:t>
      </w:r>
      <w:r>
        <w:rPr>
          <w:sz w:val="32"/>
          <w:szCs w:val="32"/>
        </w:rPr>
        <w:t xml:space="preserve"> available at</w:t>
      </w:r>
      <w:r w:rsidR="008D7E75">
        <w:rPr>
          <w:sz w:val="32"/>
          <w:szCs w:val="32"/>
        </w:rPr>
        <w:t xml:space="preserve"> </w:t>
      </w:r>
      <w:hyperlink r:id="rId8" w:history="1">
        <w:r w:rsidR="008D7E75" w:rsidRPr="006070FF">
          <w:rPr>
            <w:rStyle w:val="Hyperlink"/>
            <w:sz w:val="32"/>
            <w:szCs w:val="32"/>
          </w:rPr>
          <w:t>https://www.un.org/ruleoflaw/files/2004%20report.pdf</w:t>
        </w:r>
      </w:hyperlink>
    </w:p>
    <w:p w:rsidR="008D7E75" w:rsidRDefault="008D7E75" w:rsidP="008D7E75">
      <w:pPr>
        <w:ind w:left="720"/>
        <w:rPr>
          <w:sz w:val="32"/>
          <w:szCs w:val="32"/>
        </w:rPr>
      </w:pPr>
      <w:r>
        <w:rPr>
          <w:sz w:val="32"/>
          <w:szCs w:val="32"/>
        </w:rPr>
        <w:t xml:space="preserve">UN Secretary-General’s Guidance Note on United Nations Approach to Transitional Justice, available at </w:t>
      </w:r>
      <w:hyperlink r:id="rId9" w:history="1">
        <w:r w:rsidRPr="006070FF">
          <w:rPr>
            <w:rStyle w:val="Hyperlink"/>
            <w:sz w:val="32"/>
            <w:szCs w:val="32"/>
          </w:rPr>
          <w:t>https://www.un.org/ruleoflaw/files/TJ_Guidance_Note_March_2010FINAL.pdf</w:t>
        </w:r>
      </w:hyperlink>
    </w:p>
    <w:p w:rsidR="008D7E75" w:rsidRDefault="008D7E75" w:rsidP="008D7E75">
      <w:pPr>
        <w:ind w:left="720"/>
        <w:rPr>
          <w:sz w:val="32"/>
          <w:szCs w:val="32"/>
        </w:rPr>
      </w:pPr>
      <w:r>
        <w:rPr>
          <w:sz w:val="32"/>
          <w:szCs w:val="32"/>
        </w:rPr>
        <w:t xml:space="preserve">‘What is Transitional Justice’ (ICTJ)? </w:t>
      </w:r>
      <w:hyperlink r:id="rId10" w:history="1">
        <w:r w:rsidRPr="006070FF">
          <w:rPr>
            <w:rStyle w:val="Hyperlink"/>
            <w:sz w:val="32"/>
            <w:szCs w:val="32"/>
          </w:rPr>
          <w:t>https://www.ictj.org/about/transitional-justice</w:t>
        </w:r>
      </w:hyperlink>
    </w:p>
    <w:p w:rsidR="008D7E75" w:rsidRDefault="008D7E75" w:rsidP="008D7E75">
      <w:pPr>
        <w:rPr>
          <w:sz w:val="32"/>
          <w:szCs w:val="32"/>
        </w:rPr>
      </w:pPr>
      <w:r>
        <w:rPr>
          <w:sz w:val="32"/>
          <w:szCs w:val="32"/>
        </w:rPr>
        <w:t>Readings (optional):</w:t>
      </w:r>
    </w:p>
    <w:p w:rsidR="00BA26A7" w:rsidRDefault="008D7E75" w:rsidP="0047616E">
      <w:pPr>
        <w:shd w:val="clear" w:color="auto" w:fill="FFFFFF"/>
        <w:spacing w:before="100" w:beforeAutospacing="1" w:after="100" w:afterAutospacing="1"/>
        <w:ind w:left="720"/>
        <w:outlineLvl w:val="1"/>
        <w:rPr>
          <w:rFonts w:eastAsia="Times New Roman" w:cstheme="minorHAnsi"/>
          <w:color w:val="2A2A2A"/>
          <w:sz w:val="32"/>
          <w:szCs w:val="32"/>
          <w:lang w:val="en"/>
        </w:rPr>
      </w:pPr>
      <w:r w:rsidRPr="00CB35EC">
        <w:rPr>
          <w:rFonts w:cstheme="minorHAnsi"/>
          <w:sz w:val="32"/>
          <w:szCs w:val="32"/>
        </w:rPr>
        <w:t>Christine Bell, ‘</w:t>
      </w:r>
      <w:r w:rsidRPr="00CB35EC">
        <w:rPr>
          <w:rFonts w:eastAsia="Times New Roman" w:cstheme="minorHAnsi"/>
          <w:bCs/>
          <w:color w:val="2A2A2A"/>
          <w:kern w:val="36"/>
          <w:sz w:val="32"/>
          <w:szCs w:val="32"/>
          <w:lang w:val="en"/>
        </w:rPr>
        <w:t xml:space="preserve">Transitional Justice, Interdisciplinarity and the State of the ‘Field’ or ‘Non-Field’”, 3 </w:t>
      </w:r>
      <w:r w:rsidRPr="002C29C0">
        <w:rPr>
          <w:rFonts w:eastAsia="Times New Roman" w:cstheme="minorHAnsi"/>
          <w:i/>
          <w:iCs/>
          <w:color w:val="2A2A2A"/>
          <w:sz w:val="32"/>
          <w:szCs w:val="32"/>
          <w:lang w:val="en"/>
        </w:rPr>
        <w:t>International Journal of Transitional Justice</w:t>
      </w:r>
      <w:r w:rsidRPr="002C29C0">
        <w:rPr>
          <w:rFonts w:eastAsia="Times New Roman" w:cstheme="minorHAnsi"/>
          <w:color w:val="2A2A2A"/>
          <w:sz w:val="32"/>
          <w:szCs w:val="32"/>
          <w:lang w:val="en"/>
        </w:rPr>
        <w:t xml:space="preserve">, </w:t>
      </w:r>
      <w:r w:rsidRPr="00CB35EC">
        <w:rPr>
          <w:rFonts w:eastAsia="Times New Roman" w:cstheme="minorHAnsi"/>
          <w:color w:val="2A2A2A"/>
          <w:sz w:val="32"/>
          <w:szCs w:val="32"/>
          <w:lang w:val="en"/>
        </w:rPr>
        <w:t xml:space="preserve">5 – 27 (2009), available at </w:t>
      </w:r>
      <w:hyperlink r:id="rId11" w:history="1">
        <w:r w:rsidRPr="00CB35EC">
          <w:rPr>
            <w:rStyle w:val="Hyperlink"/>
            <w:rFonts w:eastAsia="Times New Roman" w:cstheme="minorHAnsi"/>
            <w:sz w:val="32"/>
            <w:szCs w:val="32"/>
            <w:lang w:val="en"/>
          </w:rPr>
          <w:t>https://academic.oup.com/ijtj/article/3/1/5/2356979</w:t>
        </w:r>
      </w:hyperlink>
    </w:p>
    <w:p w:rsidR="009A4811" w:rsidRDefault="009A4811" w:rsidP="008D7E75">
      <w:pPr>
        <w:shd w:val="clear" w:color="auto" w:fill="FFFFFF"/>
        <w:spacing w:before="100" w:beforeAutospacing="1" w:after="100" w:afterAutospacing="1"/>
        <w:outlineLvl w:val="1"/>
        <w:rPr>
          <w:rFonts w:eastAsia="Times New Roman" w:cstheme="minorHAnsi"/>
          <w:b/>
          <w:bCs/>
          <w:color w:val="2A2A2A"/>
          <w:sz w:val="32"/>
          <w:szCs w:val="32"/>
          <w:bdr w:val="single" w:sz="6" w:space="9" w:color="B4BACA" w:frame="1"/>
          <w:shd w:val="clear" w:color="auto" w:fill="FFFFFF"/>
          <w:lang w:val="en"/>
        </w:rPr>
      </w:pPr>
    </w:p>
    <w:p w:rsidR="008D7E75" w:rsidRPr="002C29C0" w:rsidRDefault="008D7E75" w:rsidP="008D7E75">
      <w:pPr>
        <w:shd w:val="clear" w:color="auto" w:fill="FFFFFF"/>
        <w:spacing w:before="100" w:beforeAutospacing="1" w:after="100" w:afterAutospacing="1"/>
        <w:outlineLvl w:val="1"/>
        <w:rPr>
          <w:rFonts w:eastAsia="Times New Roman" w:cstheme="minorHAnsi"/>
          <w:b/>
          <w:bCs/>
          <w:vanish/>
          <w:color w:val="2A2A2A"/>
          <w:sz w:val="32"/>
          <w:szCs w:val="32"/>
          <w:bdr w:val="single" w:sz="6" w:space="9" w:color="B4BACA" w:frame="1"/>
          <w:shd w:val="clear" w:color="auto" w:fill="FFFFFF"/>
          <w:lang w:val="en"/>
        </w:rPr>
      </w:pPr>
      <w:r w:rsidRPr="002C29C0">
        <w:rPr>
          <w:rFonts w:eastAsia="Times New Roman" w:cstheme="minorHAnsi"/>
          <w:b/>
          <w:bCs/>
          <w:vanish/>
          <w:color w:val="2A2A2A"/>
          <w:sz w:val="32"/>
          <w:szCs w:val="32"/>
          <w:bdr w:val="single" w:sz="6" w:space="9" w:color="B4BACA" w:frame="1"/>
          <w:shd w:val="clear" w:color="auto" w:fill="FFFFFF"/>
          <w:lang w:val="en"/>
        </w:rPr>
        <w:t>Christine Bell</w:t>
      </w:r>
    </w:p>
    <w:p w:rsidR="008D7E75" w:rsidRPr="002C29C0" w:rsidRDefault="008D7E75" w:rsidP="008D7E75">
      <w:pPr>
        <w:shd w:val="clear" w:color="auto" w:fill="FFFFFF"/>
        <w:spacing w:before="510" w:after="0" w:line="348" w:lineRule="atLeast"/>
        <w:rPr>
          <w:rFonts w:eastAsia="Times New Roman" w:cstheme="minorHAnsi"/>
          <w:vanish/>
          <w:color w:val="2A2A2A"/>
          <w:sz w:val="32"/>
          <w:szCs w:val="32"/>
          <w:bdr w:val="single" w:sz="6" w:space="9" w:color="B4BACA" w:frame="1"/>
          <w:shd w:val="clear" w:color="auto" w:fill="FFFFFF"/>
          <w:lang w:val="en"/>
        </w:rPr>
      </w:pPr>
      <w:r w:rsidRPr="002C29C0">
        <w:rPr>
          <w:rFonts w:eastAsia="Times New Roman" w:cstheme="minorHAnsi"/>
          <w:vanish/>
          <w:color w:val="2A2A2A"/>
          <w:sz w:val="32"/>
          <w:szCs w:val="32"/>
          <w:bdr w:val="single" w:sz="6" w:space="9" w:color="B4BACA" w:frame="1"/>
          <w:shd w:val="clear" w:color="auto" w:fill="FFFFFF"/>
          <w:lang w:val="en"/>
        </w:rPr>
        <w:t>*</w:t>
      </w:r>
    </w:p>
    <w:p w:rsidR="008D7E75" w:rsidRPr="002C29C0" w:rsidRDefault="008D7E75" w:rsidP="008D7E75">
      <w:pPr>
        <w:shd w:val="clear" w:color="auto" w:fill="FFFFFF"/>
        <w:spacing w:before="510" w:after="0" w:line="348" w:lineRule="atLeast"/>
        <w:rPr>
          <w:rFonts w:eastAsia="Times New Roman" w:cstheme="minorHAnsi"/>
          <w:vanish/>
          <w:color w:val="2A2A2A"/>
          <w:sz w:val="32"/>
          <w:szCs w:val="32"/>
          <w:bdr w:val="single" w:sz="6" w:space="9" w:color="B4BACA" w:frame="1"/>
          <w:shd w:val="clear" w:color="auto" w:fill="FFFFFF"/>
          <w:lang w:val="en"/>
        </w:rPr>
      </w:pPr>
      <w:r w:rsidRPr="002C29C0">
        <w:rPr>
          <w:rFonts w:eastAsia="Times New Roman" w:cstheme="minorHAnsi"/>
          <w:vanish/>
          <w:color w:val="2A2A2A"/>
          <w:sz w:val="32"/>
          <w:szCs w:val="32"/>
          <w:bdr w:val="single" w:sz="6" w:space="9" w:color="B4BACA" w:frame="1"/>
          <w:shd w:val="clear" w:color="auto" w:fill="FFFFFF"/>
          <w:lang w:val="en"/>
        </w:rPr>
        <w:t xml:space="preserve">, </w:t>
      </w:r>
    </w:p>
    <w:p w:rsidR="008D7E75" w:rsidRPr="002C29C0" w:rsidRDefault="008D7E75" w:rsidP="008D7E75">
      <w:pPr>
        <w:shd w:val="clear" w:color="auto" w:fill="FFFFFF"/>
        <w:spacing w:before="510" w:after="0" w:line="348" w:lineRule="atLeast"/>
        <w:rPr>
          <w:rFonts w:ascii="Arial" w:eastAsia="Times New Roman" w:hAnsi="Arial" w:cs="Arial"/>
          <w:vanish/>
          <w:color w:val="2A2A2A"/>
          <w:sz w:val="24"/>
          <w:szCs w:val="24"/>
          <w:bdr w:val="single" w:sz="6" w:space="9" w:color="B4BACA" w:frame="1"/>
          <w:shd w:val="clear" w:color="auto" w:fill="FFFFFF"/>
          <w:lang w:val="en"/>
        </w:rPr>
      </w:pPr>
      <w:r w:rsidRPr="002C29C0">
        <w:rPr>
          <w:rFonts w:ascii="Arial" w:eastAsia="Times New Roman" w:hAnsi="Arial" w:cs="Arial"/>
          <w:vanish/>
          <w:color w:val="2A2A2A"/>
          <w:sz w:val="24"/>
          <w:szCs w:val="24"/>
          <w:bdr w:val="single" w:sz="6" w:space="9" w:color="B4BACA" w:frame="1"/>
          <w:shd w:val="clear" w:color="auto" w:fill="FFFFFF"/>
          <w:lang w:val="en"/>
        </w:rPr>
        <w:t xml:space="preserve">, </w:t>
      </w:r>
    </w:p>
    <w:p w:rsidR="008D7E75" w:rsidRDefault="00891E84" w:rsidP="008D7E75">
      <w:pPr>
        <w:rPr>
          <w:sz w:val="32"/>
          <w:szCs w:val="32"/>
        </w:rPr>
      </w:pPr>
      <w:r>
        <w:rPr>
          <w:sz w:val="32"/>
          <w:szCs w:val="32"/>
        </w:rPr>
        <w:t>6</w:t>
      </w:r>
      <w:r w:rsidR="00387CB1">
        <w:rPr>
          <w:sz w:val="32"/>
          <w:szCs w:val="32"/>
        </w:rPr>
        <w:t xml:space="preserve"> </w:t>
      </w:r>
      <w:r w:rsidR="008D7E75">
        <w:rPr>
          <w:sz w:val="32"/>
          <w:szCs w:val="32"/>
        </w:rPr>
        <w:t>April 2020</w:t>
      </w:r>
      <w:r>
        <w:rPr>
          <w:sz w:val="32"/>
          <w:szCs w:val="32"/>
        </w:rPr>
        <w:t>,</w:t>
      </w:r>
      <w:r w:rsidR="008D7E75">
        <w:rPr>
          <w:sz w:val="32"/>
          <w:szCs w:val="32"/>
        </w:rPr>
        <w:t xml:space="preserve"> </w:t>
      </w:r>
      <w:r>
        <w:rPr>
          <w:sz w:val="32"/>
          <w:szCs w:val="32"/>
        </w:rPr>
        <w:t>Class 2 (</w:t>
      </w:r>
      <w:r w:rsidR="00BA26A7">
        <w:rPr>
          <w:sz w:val="32"/>
          <w:szCs w:val="32"/>
        </w:rPr>
        <w:t>15:30 – 17:10</w:t>
      </w:r>
      <w:r>
        <w:rPr>
          <w:sz w:val="32"/>
          <w:szCs w:val="32"/>
        </w:rPr>
        <w:t>)</w:t>
      </w:r>
    </w:p>
    <w:p w:rsidR="008D7E75" w:rsidRDefault="008D7E75" w:rsidP="008D7E75">
      <w:pPr>
        <w:rPr>
          <w:sz w:val="32"/>
          <w:szCs w:val="32"/>
        </w:rPr>
      </w:pPr>
      <w:r>
        <w:rPr>
          <w:sz w:val="32"/>
          <w:szCs w:val="32"/>
        </w:rPr>
        <w:tab/>
        <w:t>Topic: The role of victims and affected communities</w:t>
      </w:r>
      <w:r w:rsidR="008D5B27">
        <w:rPr>
          <w:sz w:val="32"/>
          <w:szCs w:val="32"/>
        </w:rPr>
        <w:t>/</w:t>
      </w:r>
      <w:r>
        <w:rPr>
          <w:sz w:val="32"/>
          <w:szCs w:val="32"/>
        </w:rPr>
        <w:t>participation in Transitional Justice processes</w:t>
      </w:r>
    </w:p>
    <w:p w:rsidR="008D7E75" w:rsidRDefault="008D7E75" w:rsidP="008D7E75">
      <w:pPr>
        <w:jc w:val="both"/>
        <w:rPr>
          <w:sz w:val="32"/>
          <w:szCs w:val="32"/>
        </w:rPr>
      </w:pPr>
      <w:r>
        <w:rPr>
          <w:sz w:val="32"/>
          <w:szCs w:val="32"/>
        </w:rPr>
        <w:tab/>
        <w:t xml:space="preserve">This session will address the role of victims in transitional justice processes, in terms of how they engage in these processes, how their voices are heard or not and how/whether these processes meet the needs of victims. What role should victims and affected communities play? Why do so many activists and commentators talk about a ‘victim centered approach’? Victims and civil society are not co-extensive, what are the differences and how do these differences play out in practice? In a number of cases, courts and other </w:t>
      </w:r>
      <w:r w:rsidR="00D924CD">
        <w:rPr>
          <w:sz w:val="32"/>
          <w:szCs w:val="32"/>
        </w:rPr>
        <w:t xml:space="preserve">TJ </w:t>
      </w:r>
      <w:r>
        <w:rPr>
          <w:sz w:val="32"/>
          <w:szCs w:val="32"/>
        </w:rPr>
        <w:t>measures have created Outreach programs that try to provide information, dispel propaganda and engage with victims and the population as a whole.  To what end/to what effect?</w:t>
      </w:r>
    </w:p>
    <w:p w:rsidR="00F12FD2" w:rsidRDefault="00F12FD2" w:rsidP="008D7E75">
      <w:pPr>
        <w:jc w:val="both"/>
        <w:rPr>
          <w:sz w:val="32"/>
          <w:szCs w:val="32"/>
        </w:rPr>
      </w:pPr>
    </w:p>
    <w:p w:rsidR="008D7E75" w:rsidRDefault="008D7E75" w:rsidP="008D7E75">
      <w:pPr>
        <w:rPr>
          <w:sz w:val="32"/>
          <w:szCs w:val="32"/>
        </w:rPr>
      </w:pPr>
      <w:r>
        <w:rPr>
          <w:sz w:val="32"/>
          <w:szCs w:val="32"/>
        </w:rPr>
        <w:t xml:space="preserve">Readings (required): </w:t>
      </w:r>
    </w:p>
    <w:p w:rsidR="008D7E75" w:rsidRDefault="008D7E75" w:rsidP="008D7E75">
      <w:pPr>
        <w:rPr>
          <w:sz w:val="32"/>
          <w:szCs w:val="32"/>
        </w:rPr>
      </w:pPr>
      <w:r>
        <w:rPr>
          <w:sz w:val="32"/>
          <w:szCs w:val="32"/>
        </w:rPr>
        <w:tab/>
        <w:t>Transitional Justice in the 21</w:t>
      </w:r>
      <w:r w:rsidRPr="00C02F21">
        <w:rPr>
          <w:sz w:val="32"/>
          <w:szCs w:val="32"/>
          <w:vertAlign w:val="superscript"/>
        </w:rPr>
        <w:t>st</w:t>
      </w:r>
      <w:r>
        <w:rPr>
          <w:sz w:val="32"/>
          <w:szCs w:val="32"/>
        </w:rPr>
        <w:t xml:space="preserve"> Century, pp. 29 – 32.</w:t>
      </w:r>
    </w:p>
    <w:p w:rsidR="008D7E75" w:rsidRDefault="008D7E75" w:rsidP="00580F4C">
      <w:pPr>
        <w:ind w:left="720"/>
        <w:rPr>
          <w:sz w:val="32"/>
          <w:szCs w:val="32"/>
        </w:rPr>
      </w:pPr>
      <w:r>
        <w:rPr>
          <w:sz w:val="32"/>
          <w:szCs w:val="32"/>
        </w:rPr>
        <w:t xml:space="preserve">Statement by UN High Commissioner for Human Rights: Consultations with Victims/Affected Communities required by international </w:t>
      </w:r>
      <w:r w:rsidRPr="00C02F21">
        <w:rPr>
          <w:sz w:val="32"/>
          <w:szCs w:val="32"/>
        </w:rPr>
        <w:t xml:space="preserve">law, </w:t>
      </w:r>
      <w:r w:rsidRPr="00C02F21">
        <w:rPr>
          <w:rFonts w:cstheme="minorHAnsi"/>
          <w:sz w:val="32"/>
          <w:szCs w:val="32"/>
        </w:rPr>
        <w:t xml:space="preserve">available at: </w:t>
      </w:r>
      <w:hyperlink r:id="rId12" w:history="1">
        <w:r w:rsidRPr="00C02F21">
          <w:rPr>
            <w:rStyle w:val="Hyperlink"/>
            <w:rFonts w:cstheme="minorHAnsi"/>
            <w:sz w:val="32"/>
            <w:szCs w:val="32"/>
          </w:rPr>
          <w:t>https://www.un.org/ruleoflaw/files/Tool_National_Consultations_final_web.pdf</w:t>
        </w:r>
      </w:hyperlink>
      <w:r w:rsidRPr="00C02F21">
        <w:rPr>
          <w:sz w:val="32"/>
          <w:szCs w:val="32"/>
        </w:rPr>
        <w:t xml:space="preserve"> </w:t>
      </w:r>
    </w:p>
    <w:p w:rsidR="008D7E75" w:rsidRPr="00580F4C" w:rsidRDefault="008D7E75" w:rsidP="00580F4C">
      <w:pPr>
        <w:ind w:left="720"/>
        <w:rPr>
          <w:rStyle w:val="Hyperlink"/>
          <w:rFonts w:cstheme="minorHAnsi"/>
          <w:color w:val="auto"/>
          <w:sz w:val="32"/>
          <w:szCs w:val="32"/>
          <w:u w:val="none"/>
        </w:rPr>
      </w:pPr>
      <w:r w:rsidRPr="008D7E75">
        <w:rPr>
          <w:sz w:val="32"/>
          <w:szCs w:val="32"/>
        </w:rPr>
        <w:t xml:space="preserve">Refik </w:t>
      </w:r>
      <w:r w:rsidRPr="008D7E75">
        <w:rPr>
          <w:rFonts w:cstheme="minorHAnsi"/>
          <w:sz w:val="32"/>
          <w:szCs w:val="32"/>
        </w:rPr>
        <w:t>Hodzic</w:t>
      </w:r>
      <w:r w:rsidR="00580F4C">
        <w:rPr>
          <w:rFonts w:cstheme="minorHAnsi"/>
          <w:sz w:val="32"/>
          <w:szCs w:val="32"/>
        </w:rPr>
        <w:t>, ‘Changing the Narrative: The Role of Communications in Transitional Jus</w:t>
      </w:r>
      <w:r w:rsidR="00D924CD">
        <w:rPr>
          <w:rFonts w:cstheme="minorHAnsi"/>
          <w:sz w:val="32"/>
          <w:szCs w:val="32"/>
        </w:rPr>
        <w:t>t</w:t>
      </w:r>
      <w:r w:rsidR="00580F4C">
        <w:rPr>
          <w:rFonts w:cstheme="minorHAnsi"/>
          <w:sz w:val="32"/>
          <w:szCs w:val="32"/>
        </w:rPr>
        <w:t>ice’)</w:t>
      </w:r>
      <w:r w:rsidRPr="008D7E75">
        <w:rPr>
          <w:rFonts w:cstheme="minorHAnsi"/>
          <w:sz w:val="32"/>
          <w:szCs w:val="32"/>
        </w:rPr>
        <w:t xml:space="preserve"> </w:t>
      </w:r>
      <w:r w:rsidR="00580F4C">
        <w:rPr>
          <w:rFonts w:cstheme="minorHAnsi"/>
          <w:sz w:val="32"/>
          <w:szCs w:val="32"/>
        </w:rPr>
        <w:t>(</w:t>
      </w:r>
      <w:r w:rsidRPr="008D7E75">
        <w:rPr>
          <w:rFonts w:cstheme="minorHAnsi"/>
          <w:sz w:val="32"/>
          <w:szCs w:val="32"/>
        </w:rPr>
        <w:t>Institute for Integrated Transitions</w:t>
      </w:r>
      <w:r w:rsidR="00580F4C">
        <w:rPr>
          <w:rFonts w:cstheme="minorHAnsi"/>
          <w:sz w:val="32"/>
          <w:szCs w:val="32"/>
        </w:rPr>
        <w:t>)</w:t>
      </w:r>
      <w:r w:rsidRPr="008D7E75">
        <w:rPr>
          <w:rFonts w:cstheme="minorHAnsi"/>
          <w:sz w:val="32"/>
          <w:szCs w:val="32"/>
        </w:rPr>
        <w:t xml:space="preserve"> available at:</w:t>
      </w:r>
      <w:r w:rsidR="00580F4C">
        <w:rPr>
          <w:rFonts w:cstheme="minorHAnsi"/>
          <w:sz w:val="32"/>
          <w:szCs w:val="32"/>
        </w:rPr>
        <w:t xml:space="preserve"> </w:t>
      </w:r>
      <w:hyperlink r:id="rId13" w:history="1">
        <w:r w:rsidRPr="008D7E75">
          <w:rPr>
            <w:rStyle w:val="Hyperlink"/>
            <w:rFonts w:cstheme="minorHAnsi"/>
            <w:sz w:val="32"/>
            <w:szCs w:val="32"/>
          </w:rPr>
          <w:t>https://www.ifit-transitions.org/resources/publications/major-publications-briefings/changing-the-narrative-the-role-of-communications-in-transitional-justice</w:t>
        </w:r>
      </w:hyperlink>
    </w:p>
    <w:p w:rsidR="008D7E75" w:rsidRDefault="008D7E75" w:rsidP="008D7E75">
      <w:pPr>
        <w:ind w:left="720"/>
        <w:rPr>
          <w:sz w:val="32"/>
          <w:szCs w:val="32"/>
        </w:rPr>
      </w:pPr>
      <w:r>
        <w:rPr>
          <w:sz w:val="32"/>
          <w:szCs w:val="32"/>
        </w:rPr>
        <w:t>‘</w:t>
      </w:r>
      <w:r w:rsidRPr="006652AA">
        <w:rPr>
          <w:sz w:val="32"/>
          <w:szCs w:val="32"/>
        </w:rPr>
        <w:t>Making an Impact: Guidelines on Designing and Implementing Outreach Programs for Transitional Justice</w:t>
      </w:r>
      <w:r>
        <w:rPr>
          <w:sz w:val="32"/>
          <w:szCs w:val="32"/>
        </w:rPr>
        <w:t xml:space="preserve">’, available at:    </w:t>
      </w:r>
      <w:hyperlink r:id="rId14" w:history="1">
        <w:r w:rsidRPr="006070FF">
          <w:rPr>
            <w:rStyle w:val="Hyperlink"/>
            <w:sz w:val="32"/>
            <w:szCs w:val="32"/>
          </w:rPr>
          <w:t>https://www.ictj.org/sites/default/files/ICTJ-Global-Making-Impact-2011-English.pdf</w:t>
        </w:r>
      </w:hyperlink>
    </w:p>
    <w:p w:rsidR="008D7E75" w:rsidRDefault="008D7E75" w:rsidP="008D7E75">
      <w:pPr>
        <w:rPr>
          <w:sz w:val="32"/>
          <w:szCs w:val="32"/>
        </w:rPr>
      </w:pPr>
    </w:p>
    <w:p w:rsidR="008D7E75" w:rsidRDefault="00BA26A7" w:rsidP="008D7E75">
      <w:pPr>
        <w:rPr>
          <w:sz w:val="32"/>
          <w:szCs w:val="32"/>
        </w:rPr>
      </w:pPr>
      <w:r>
        <w:rPr>
          <w:sz w:val="32"/>
          <w:szCs w:val="32"/>
        </w:rPr>
        <w:t xml:space="preserve">14 </w:t>
      </w:r>
      <w:r w:rsidR="008D7E75">
        <w:rPr>
          <w:sz w:val="32"/>
          <w:szCs w:val="32"/>
        </w:rPr>
        <w:t>April 2020</w:t>
      </w:r>
      <w:r>
        <w:rPr>
          <w:sz w:val="32"/>
          <w:szCs w:val="32"/>
        </w:rPr>
        <w:t xml:space="preserve"> (</w:t>
      </w:r>
      <w:r w:rsidRPr="00BA26A7">
        <w:rPr>
          <w:b/>
          <w:sz w:val="32"/>
          <w:szCs w:val="32"/>
        </w:rPr>
        <w:t>Tuesday</w:t>
      </w:r>
      <w:r>
        <w:rPr>
          <w:sz w:val="32"/>
          <w:szCs w:val="32"/>
        </w:rPr>
        <w:t>), Class 3</w:t>
      </w:r>
      <w:r w:rsidR="00766221">
        <w:rPr>
          <w:sz w:val="32"/>
          <w:szCs w:val="32"/>
        </w:rPr>
        <w:t xml:space="preserve"> (9:00 – 10:40)</w:t>
      </w:r>
    </w:p>
    <w:p w:rsidR="008D7E75" w:rsidRDefault="008D7E75" w:rsidP="008D7E75">
      <w:pPr>
        <w:rPr>
          <w:sz w:val="32"/>
          <w:szCs w:val="32"/>
        </w:rPr>
      </w:pPr>
      <w:r>
        <w:rPr>
          <w:sz w:val="32"/>
          <w:szCs w:val="32"/>
        </w:rPr>
        <w:t>Topic:  Gender, marginalized groups; participation</w:t>
      </w:r>
    </w:p>
    <w:p w:rsidR="008D7E75" w:rsidRPr="00221B7B" w:rsidRDefault="008D7E75" w:rsidP="008D7E75">
      <w:pPr>
        <w:jc w:val="both"/>
        <w:rPr>
          <w:sz w:val="32"/>
          <w:szCs w:val="32"/>
        </w:rPr>
      </w:pPr>
      <w:r>
        <w:rPr>
          <w:sz w:val="32"/>
          <w:szCs w:val="32"/>
        </w:rPr>
        <w:tab/>
        <w:t xml:space="preserve">This session will examine how transitional justice processes address violations against, and marginalization of, of women and others based on gender.  In addition, we will look at other marginalized groups and how transitional justice processes have or have not addressed the violations and marginalization that they suffer. </w:t>
      </w:r>
      <w:r w:rsidRPr="00F800F1">
        <w:rPr>
          <w:rFonts w:cstheme="minorHAnsi"/>
          <w:sz w:val="32"/>
          <w:szCs w:val="32"/>
        </w:rPr>
        <w:t xml:space="preserve"> </w:t>
      </w:r>
    </w:p>
    <w:p w:rsidR="008D7E75" w:rsidRDefault="008D7E75" w:rsidP="008D7E75">
      <w:pPr>
        <w:rPr>
          <w:sz w:val="32"/>
          <w:szCs w:val="32"/>
        </w:rPr>
      </w:pPr>
      <w:r>
        <w:rPr>
          <w:sz w:val="32"/>
          <w:szCs w:val="32"/>
        </w:rPr>
        <w:t xml:space="preserve">Readings (required): </w:t>
      </w:r>
    </w:p>
    <w:p w:rsidR="008D7E75" w:rsidRDefault="008D7E75" w:rsidP="008D7E75">
      <w:pPr>
        <w:pStyle w:val="ListParagraph"/>
        <w:rPr>
          <w:sz w:val="32"/>
          <w:szCs w:val="32"/>
        </w:rPr>
      </w:pPr>
      <w:r>
        <w:rPr>
          <w:sz w:val="32"/>
          <w:szCs w:val="32"/>
        </w:rPr>
        <w:t>Transitional Justice in the 21</w:t>
      </w:r>
      <w:r w:rsidRPr="00C02F21">
        <w:rPr>
          <w:sz w:val="32"/>
          <w:szCs w:val="32"/>
          <w:vertAlign w:val="superscript"/>
        </w:rPr>
        <w:t>st</w:t>
      </w:r>
      <w:r>
        <w:rPr>
          <w:sz w:val="32"/>
          <w:szCs w:val="32"/>
        </w:rPr>
        <w:t xml:space="preserve"> Century, pp. 37 – 40; </w:t>
      </w:r>
    </w:p>
    <w:p w:rsidR="00BA26A7" w:rsidRDefault="00BA26A7" w:rsidP="008D7E75">
      <w:pPr>
        <w:pStyle w:val="ListParagraph"/>
        <w:rPr>
          <w:sz w:val="32"/>
          <w:szCs w:val="32"/>
        </w:rPr>
      </w:pPr>
    </w:p>
    <w:p w:rsidR="008D7E75" w:rsidRDefault="008D7E75" w:rsidP="008D7E75">
      <w:pPr>
        <w:pStyle w:val="ListParagraph"/>
        <w:rPr>
          <w:sz w:val="32"/>
          <w:szCs w:val="32"/>
        </w:rPr>
      </w:pPr>
      <w:r>
        <w:rPr>
          <w:sz w:val="32"/>
          <w:szCs w:val="32"/>
        </w:rPr>
        <w:t>The Disappeared and Invisible: Revealing the Enduring Impact of Enforced Disappearance on Women:</w:t>
      </w:r>
    </w:p>
    <w:p w:rsidR="00F251CD" w:rsidRPr="00F251CD" w:rsidRDefault="00644F80" w:rsidP="00F251CD">
      <w:pPr>
        <w:pStyle w:val="ListParagraph"/>
        <w:rPr>
          <w:rStyle w:val="Hyperlink"/>
          <w:rFonts w:cstheme="minorHAnsi"/>
          <w:sz w:val="32"/>
          <w:szCs w:val="32"/>
        </w:rPr>
      </w:pPr>
      <w:hyperlink r:id="rId15" w:history="1">
        <w:r w:rsidR="008D7E75" w:rsidRPr="001C4FAB">
          <w:rPr>
            <w:rStyle w:val="Hyperlink"/>
            <w:rFonts w:cstheme="minorHAnsi"/>
            <w:sz w:val="32"/>
            <w:szCs w:val="32"/>
          </w:rPr>
          <w:t>https://www.ictj.org/publication/disappeared-and-invisible-women-disappearances</w:t>
        </w:r>
      </w:hyperlink>
    </w:p>
    <w:p w:rsidR="008D7E75" w:rsidRDefault="00644F80" w:rsidP="008D7E75">
      <w:pPr>
        <w:shd w:val="clear" w:color="auto" w:fill="FFFFFF"/>
        <w:ind w:left="720"/>
        <w:textAlignment w:val="baseline"/>
        <w:rPr>
          <w:color w:val="2A2A2A"/>
          <w:sz w:val="32"/>
          <w:szCs w:val="32"/>
        </w:rPr>
      </w:pPr>
      <w:hyperlink r:id="rId16" w:history="1">
        <w:r w:rsidR="008D7E75" w:rsidRPr="00D924CD">
          <w:rPr>
            <w:rStyle w:val="Hyperlink"/>
            <w:color w:val="000000" w:themeColor="text1"/>
            <w:sz w:val="32"/>
            <w:szCs w:val="32"/>
            <w:u w:val="none"/>
            <w:bdr w:val="none" w:sz="0" w:space="0" w:color="auto" w:frame="1"/>
          </w:rPr>
          <w:t>Elise Ketelaars</w:t>
        </w:r>
      </w:hyperlink>
      <w:r w:rsidR="008D7E75" w:rsidRPr="00221B7B">
        <w:rPr>
          <w:rStyle w:val="al-author-name-more"/>
          <w:color w:val="000000" w:themeColor="text1"/>
          <w:sz w:val="32"/>
          <w:szCs w:val="32"/>
          <w:bdr w:val="none" w:sz="0" w:space="0" w:color="auto" w:frame="1"/>
        </w:rPr>
        <w:t xml:space="preserve">, </w:t>
      </w:r>
      <w:r w:rsidR="008D7E75" w:rsidRPr="00221B7B">
        <w:rPr>
          <w:color w:val="2A2A2A"/>
          <w:sz w:val="32"/>
          <w:szCs w:val="32"/>
        </w:rPr>
        <w:t xml:space="preserve">Gendering Tunisia’s Transition: Transformative Gender Justice Outcomes in Times of Transitional Justice Turmoil?, </w:t>
      </w:r>
      <w:r w:rsidR="008D7E75" w:rsidRPr="00221B7B">
        <w:rPr>
          <w:rStyle w:val="Emphasis"/>
          <w:color w:val="2A2A2A"/>
          <w:sz w:val="32"/>
          <w:szCs w:val="32"/>
          <w:bdr w:val="none" w:sz="0" w:space="0" w:color="auto" w:frame="1"/>
        </w:rPr>
        <w:t>International Journal of Transitional Justice</w:t>
      </w:r>
      <w:r w:rsidR="008D7E75" w:rsidRPr="00221B7B">
        <w:rPr>
          <w:color w:val="2A2A2A"/>
          <w:sz w:val="32"/>
          <w:szCs w:val="32"/>
        </w:rPr>
        <w:t xml:space="preserve">, Volume 12, Issue </w:t>
      </w:r>
      <w:r w:rsidR="008D7E75">
        <w:rPr>
          <w:color w:val="2A2A2A"/>
          <w:sz w:val="32"/>
          <w:szCs w:val="32"/>
        </w:rPr>
        <w:t>3, November 2018, Pages 407–426.</w:t>
      </w:r>
    </w:p>
    <w:p w:rsidR="008D5B27" w:rsidRPr="00221B7B" w:rsidRDefault="008D5B27" w:rsidP="008D5B27">
      <w:pPr>
        <w:pStyle w:val="ListParagraph"/>
        <w:rPr>
          <w:rFonts w:cstheme="minorHAnsi"/>
          <w:sz w:val="32"/>
          <w:szCs w:val="32"/>
        </w:rPr>
      </w:pPr>
      <w:r w:rsidRPr="00221B7B">
        <w:rPr>
          <w:color w:val="333333"/>
          <w:spacing w:val="4"/>
          <w:sz w:val="32"/>
          <w:szCs w:val="32"/>
          <w:shd w:val="clear" w:color="auto" w:fill="FFFFFF"/>
        </w:rPr>
        <w:t xml:space="preserve">Fanneron E., Sahle E.N., Dahlgren K. (2019) </w:t>
      </w:r>
      <w:r>
        <w:rPr>
          <w:color w:val="333333"/>
          <w:spacing w:val="4"/>
          <w:sz w:val="32"/>
          <w:szCs w:val="32"/>
          <w:shd w:val="clear" w:color="auto" w:fill="FFFFFF"/>
        </w:rPr>
        <w:t>‘</w:t>
      </w:r>
      <w:r w:rsidRPr="00221B7B">
        <w:rPr>
          <w:color w:val="333333"/>
          <w:spacing w:val="4"/>
          <w:sz w:val="32"/>
          <w:szCs w:val="32"/>
          <w:shd w:val="clear" w:color="auto" w:fill="FFFFFF"/>
        </w:rPr>
        <w:t>Transitional Justice, Gender-Based Violence, and Women’s Rights</w:t>
      </w:r>
      <w:r>
        <w:rPr>
          <w:color w:val="333333"/>
          <w:spacing w:val="4"/>
          <w:sz w:val="32"/>
          <w:szCs w:val="32"/>
          <w:shd w:val="clear" w:color="auto" w:fill="FFFFFF"/>
        </w:rPr>
        <w:t>’, i</w:t>
      </w:r>
      <w:r w:rsidRPr="00221B7B">
        <w:rPr>
          <w:color w:val="333333"/>
          <w:spacing w:val="4"/>
          <w:sz w:val="32"/>
          <w:szCs w:val="32"/>
          <w:shd w:val="clear" w:color="auto" w:fill="FFFFFF"/>
        </w:rPr>
        <w:t>n Sahle E. (eds</w:t>
      </w:r>
      <w:r>
        <w:rPr>
          <w:color w:val="333333"/>
          <w:spacing w:val="4"/>
          <w:sz w:val="32"/>
          <w:szCs w:val="32"/>
          <w:shd w:val="clear" w:color="auto" w:fill="FFFFFF"/>
        </w:rPr>
        <w:t>.</w:t>
      </w:r>
      <w:r w:rsidRPr="00221B7B">
        <w:rPr>
          <w:color w:val="333333"/>
          <w:spacing w:val="4"/>
          <w:sz w:val="32"/>
          <w:szCs w:val="32"/>
          <w:shd w:val="clear" w:color="auto" w:fill="FFFFFF"/>
        </w:rPr>
        <w:t>) Human Rights in Africa</w:t>
      </w:r>
      <w:r>
        <w:rPr>
          <w:color w:val="333333"/>
          <w:spacing w:val="4"/>
          <w:sz w:val="32"/>
          <w:szCs w:val="32"/>
          <w:shd w:val="clear" w:color="auto" w:fill="FFFFFF"/>
        </w:rPr>
        <w:t xml:space="preserve"> (</w:t>
      </w:r>
      <w:r w:rsidRPr="00221B7B">
        <w:rPr>
          <w:color w:val="333333"/>
          <w:spacing w:val="4"/>
          <w:sz w:val="32"/>
          <w:szCs w:val="32"/>
          <w:shd w:val="clear" w:color="auto" w:fill="FFFFFF"/>
        </w:rPr>
        <w:t>Palgrave Macmillan, New York</w:t>
      </w:r>
      <w:r>
        <w:rPr>
          <w:color w:val="333333"/>
          <w:spacing w:val="4"/>
          <w:sz w:val="32"/>
          <w:szCs w:val="32"/>
          <w:shd w:val="clear" w:color="auto" w:fill="FFFFFF"/>
        </w:rPr>
        <w:t xml:space="preserve"> (2019). </w:t>
      </w:r>
    </w:p>
    <w:p w:rsidR="008D5B27" w:rsidRDefault="008D5B27" w:rsidP="008D7E75">
      <w:pPr>
        <w:shd w:val="clear" w:color="auto" w:fill="FFFFFF"/>
        <w:ind w:left="720"/>
        <w:textAlignment w:val="baseline"/>
        <w:rPr>
          <w:color w:val="2A2A2A"/>
          <w:sz w:val="32"/>
          <w:szCs w:val="32"/>
        </w:rPr>
      </w:pPr>
      <w:r>
        <w:rPr>
          <w:color w:val="2A2A2A"/>
          <w:sz w:val="32"/>
          <w:szCs w:val="32"/>
        </w:rPr>
        <w:t xml:space="preserve">ICTJ, ‘When No One Calls it Rape’, </w:t>
      </w:r>
      <w:hyperlink r:id="rId17" w:history="1">
        <w:r w:rsidRPr="003F7E6B">
          <w:rPr>
            <w:rStyle w:val="Hyperlink"/>
            <w:sz w:val="32"/>
            <w:szCs w:val="32"/>
          </w:rPr>
          <w:t>https://www.ictj.org/publication/sexual-violence-men-boys</w:t>
        </w:r>
      </w:hyperlink>
    </w:p>
    <w:p w:rsidR="008D7E75" w:rsidRDefault="008D7E75" w:rsidP="008D7E75">
      <w:pPr>
        <w:pStyle w:val="ListParagraph"/>
        <w:rPr>
          <w:rFonts w:ascii="Source Sans Pro" w:hAnsi="Source Sans Pro"/>
          <w:color w:val="333333"/>
          <w:spacing w:val="4"/>
          <w:sz w:val="21"/>
          <w:szCs w:val="21"/>
          <w:shd w:val="clear" w:color="auto" w:fill="FFFFFF"/>
        </w:rPr>
      </w:pPr>
    </w:p>
    <w:p w:rsidR="008D7E75" w:rsidRPr="00221B7B" w:rsidRDefault="008D7E75" w:rsidP="008D7E75">
      <w:pPr>
        <w:pStyle w:val="ListParagraph"/>
        <w:rPr>
          <w:color w:val="333333"/>
          <w:spacing w:val="4"/>
          <w:sz w:val="32"/>
          <w:szCs w:val="32"/>
          <w:shd w:val="clear" w:color="auto" w:fill="FFFFFF"/>
        </w:rPr>
      </w:pPr>
      <w:r w:rsidRPr="00221B7B">
        <w:rPr>
          <w:color w:val="333333"/>
          <w:spacing w:val="4"/>
          <w:sz w:val="32"/>
          <w:szCs w:val="32"/>
          <w:shd w:val="clear" w:color="auto" w:fill="FFFFFF"/>
        </w:rPr>
        <w:t xml:space="preserve">Readings (optional): </w:t>
      </w:r>
    </w:p>
    <w:p w:rsidR="008D7E75" w:rsidRPr="00221B7B" w:rsidRDefault="008D7E75" w:rsidP="008D7E75">
      <w:pPr>
        <w:pStyle w:val="ListParagraph"/>
        <w:rPr>
          <w:color w:val="333333"/>
          <w:spacing w:val="4"/>
          <w:sz w:val="32"/>
          <w:szCs w:val="32"/>
          <w:shd w:val="clear" w:color="auto" w:fill="FFFFFF"/>
        </w:rPr>
      </w:pPr>
    </w:p>
    <w:p w:rsidR="008D7E75" w:rsidRPr="00221B7B" w:rsidRDefault="008D7E75" w:rsidP="008D7E75">
      <w:pPr>
        <w:pStyle w:val="ListParagraph"/>
        <w:rPr>
          <w:rFonts w:cstheme="minorHAnsi"/>
          <w:sz w:val="32"/>
          <w:szCs w:val="32"/>
        </w:rPr>
      </w:pPr>
      <w:r w:rsidRPr="00221B7B">
        <w:rPr>
          <w:color w:val="333333"/>
          <w:spacing w:val="4"/>
          <w:sz w:val="32"/>
          <w:szCs w:val="32"/>
          <w:shd w:val="clear" w:color="auto" w:fill="FFFFFF"/>
        </w:rPr>
        <w:t xml:space="preserve">Fanneron E., Sahle E.N., Dahlgren K. (2019) </w:t>
      </w:r>
      <w:r>
        <w:rPr>
          <w:color w:val="333333"/>
          <w:spacing w:val="4"/>
          <w:sz w:val="32"/>
          <w:szCs w:val="32"/>
          <w:shd w:val="clear" w:color="auto" w:fill="FFFFFF"/>
        </w:rPr>
        <w:t>‘</w:t>
      </w:r>
      <w:r w:rsidRPr="00221B7B">
        <w:rPr>
          <w:color w:val="333333"/>
          <w:spacing w:val="4"/>
          <w:sz w:val="32"/>
          <w:szCs w:val="32"/>
          <w:shd w:val="clear" w:color="auto" w:fill="FFFFFF"/>
        </w:rPr>
        <w:t>Transitional Justice, Gender-Based Violence, and Women’s Rights</w:t>
      </w:r>
      <w:r>
        <w:rPr>
          <w:color w:val="333333"/>
          <w:spacing w:val="4"/>
          <w:sz w:val="32"/>
          <w:szCs w:val="32"/>
          <w:shd w:val="clear" w:color="auto" w:fill="FFFFFF"/>
        </w:rPr>
        <w:t>’, i</w:t>
      </w:r>
      <w:r w:rsidRPr="00221B7B">
        <w:rPr>
          <w:color w:val="333333"/>
          <w:spacing w:val="4"/>
          <w:sz w:val="32"/>
          <w:szCs w:val="32"/>
          <w:shd w:val="clear" w:color="auto" w:fill="FFFFFF"/>
        </w:rPr>
        <w:t>n Sahle E. (eds</w:t>
      </w:r>
      <w:r>
        <w:rPr>
          <w:color w:val="333333"/>
          <w:spacing w:val="4"/>
          <w:sz w:val="32"/>
          <w:szCs w:val="32"/>
          <w:shd w:val="clear" w:color="auto" w:fill="FFFFFF"/>
        </w:rPr>
        <w:t>.</w:t>
      </w:r>
      <w:r w:rsidRPr="00221B7B">
        <w:rPr>
          <w:color w:val="333333"/>
          <w:spacing w:val="4"/>
          <w:sz w:val="32"/>
          <w:szCs w:val="32"/>
          <w:shd w:val="clear" w:color="auto" w:fill="FFFFFF"/>
        </w:rPr>
        <w:t>) Human Rights in Africa</w:t>
      </w:r>
      <w:r>
        <w:rPr>
          <w:color w:val="333333"/>
          <w:spacing w:val="4"/>
          <w:sz w:val="32"/>
          <w:szCs w:val="32"/>
          <w:shd w:val="clear" w:color="auto" w:fill="FFFFFF"/>
        </w:rPr>
        <w:t xml:space="preserve"> (</w:t>
      </w:r>
      <w:r w:rsidRPr="00221B7B">
        <w:rPr>
          <w:color w:val="333333"/>
          <w:spacing w:val="4"/>
          <w:sz w:val="32"/>
          <w:szCs w:val="32"/>
          <w:shd w:val="clear" w:color="auto" w:fill="FFFFFF"/>
        </w:rPr>
        <w:t>Palgrave Macmillan, New York</w:t>
      </w:r>
      <w:r>
        <w:rPr>
          <w:color w:val="333333"/>
          <w:spacing w:val="4"/>
          <w:sz w:val="32"/>
          <w:szCs w:val="32"/>
          <w:shd w:val="clear" w:color="auto" w:fill="FFFFFF"/>
        </w:rPr>
        <w:t xml:space="preserve"> (2019). </w:t>
      </w:r>
    </w:p>
    <w:p w:rsidR="008D7E75" w:rsidRPr="00221B7B" w:rsidRDefault="008D7E75" w:rsidP="008D7E75">
      <w:pPr>
        <w:pStyle w:val="ListParagraph"/>
        <w:rPr>
          <w:rFonts w:cstheme="minorHAnsi"/>
          <w:sz w:val="32"/>
          <w:szCs w:val="32"/>
        </w:rPr>
      </w:pPr>
    </w:p>
    <w:p w:rsidR="008D7E75" w:rsidRDefault="00BA26A7" w:rsidP="008D7E75">
      <w:pPr>
        <w:rPr>
          <w:sz w:val="32"/>
          <w:szCs w:val="32"/>
        </w:rPr>
      </w:pPr>
      <w:r>
        <w:rPr>
          <w:sz w:val="32"/>
          <w:szCs w:val="32"/>
        </w:rPr>
        <w:t>14</w:t>
      </w:r>
      <w:r w:rsidR="008D7E75">
        <w:rPr>
          <w:sz w:val="32"/>
          <w:szCs w:val="32"/>
        </w:rPr>
        <w:t xml:space="preserve"> April 2020</w:t>
      </w:r>
      <w:r>
        <w:rPr>
          <w:sz w:val="32"/>
          <w:szCs w:val="32"/>
        </w:rPr>
        <w:t xml:space="preserve"> (</w:t>
      </w:r>
      <w:r w:rsidRPr="00BA26A7">
        <w:rPr>
          <w:b/>
          <w:sz w:val="32"/>
          <w:szCs w:val="32"/>
        </w:rPr>
        <w:t>Tuesday</w:t>
      </w:r>
      <w:r>
        <w:rPr>
          <w:sz w:val="32"/>
          <w:szCs w:val="32"/>
        </w:rPr>
        <w:t>), Class 4</w:t>
      </w:r>
      <w:r w:rsidR="00766221">
        <w:rPr>
          <w:sz w:val="32"/>
          <w:szCs w:val="32"/>
        </w:rPr>
        <w:t xml:space="preserve"> (15:30 – 17:10)</w:t>
      </w:r>
    </w:p>
    <w:p w:rsidR="008D7E75" w:rsidRDefault="008D7E75" w:rsidP="008D7E75">
      <w:pPr>
        <w:rPr>
          <w:sz w:val="32"/>
          <w:szCs w:val="32"/>
        </w:rPr>
      </w:pPr>
      <w:r>
        <w:rPr>
          <w:sz w:val="32"/>
          <w:szCs w:val="32"/>
        </w:rPr>
        <w:t>Topic: Criminal Justice and Transitional Justice; amnesties</w:t>
      </w:r>
    </w:p>
    <w:p w:rsidR="00833FFC" w:rsidRDefault="008D7E75" w:rsidP="00D924CD">
      <w:pPr>
        <w:jc w:val="both"/>
        <w:rPr>
          <w:sz w:val="32"/>
          <w:szCs w:val="32"/>
        </w:rPr>
      </w:pPr>
      <w:r>
        <w:rPr>
          <w:sz w:val="32"/>
          <w:szCs w:val="32"/>
        </w:rPr>
        <w:tab/>
        <w:t>While criminal justice is widely viewed as an essential component of transitional justice by most practitioners and victims alike, it is clear that criminal justice processes ha</w:t>
      </w:r>
      <w:r w:rsidR="00D924CD">
        <w:rPr>
          <w:sz w:val="32"/>
          <w:szCs w:val="32"/>
        </w:rPr>
        <w:t xml:space="preserve">ve </w:t>
      </w:r>
      <w:r>
        <w:rPr>
          <w:sz w:val="32"/>
          <w:szCs w:val="32"/>
        </w:rPr>
        <w:t xml:space="preserve">limits in contexts where there </w:t>
      </w:r>
      <w:r w:rsidR="00F251CD">
        <w:rPr>
          <w:sz w:val="32"/>
          <w:szCs w:val="32"/>
        </w:rPr>
        <w:t xml:space="preserve">are </w:t>
      </w:r>
      <w:r>
        <w:rPr>
          <w:sz w:val="32"/>
          <w:szCs w:val="32"/>
        </w:rPr>
        <w:t xml:space="preserve">widespread violations of humanitarian and human rights law.  </w:t>
      </w:r>
      <w:r w:rsidR="00D924CD">
        <w:rPr>
          <w:sz w:val="32"/>
          <w:szCs w:val="32"/>
        </w:rPr>
        <w:t xml:space="preserve"> </w:t>
      </w:r>
      <w:r w:rsidR="00833FFC">
        <w:rPr>
          <w:sz w:val="32"/>
          <w:szCs w:val="32"/>
        </w:rPr>
        <w:t>We will examine the role of the International Criminal Court (‘ICC’), the principle of ‘complementarity’ and other international and ‘hybrid’ courts.</w:t>
      </w:r>
      <w:r>
        <w:rPr>
          <w:sz w:val="32"/>
          <w:szCs w:val="32"/>
        </w:rPr>
        <w:t xml:space="preserve">  </w:t>
      </w:r>
    </w:p>
    <w:p w:rsidR="008D7E75" w:rsidRDefault="008D7E75" w:rsidP="00833FFC">
      <w:pPr>
        <w:ind w:firstLine="720"/>
        <w:jc w:val="both"/>
        <w:rPr>
          <w:sz w:val="32"/>
          <w:szCs w:val="32"/>
        </w:rPr>
      </w:pPr>
      <w:r>
        <w:rPr>
          <w:sz w:val="32"/>
          <w:szCs w:val="32"/>
        </w:rPr>
        <w:t>Others argue that criminal justice processes can undermine peace efforts, as leaders with ‘blood on their hands’ are unwilling to engage in peace talks due to concerns about being prosecuted</w:t>
      </w:r>
      <w:r w:rsidR="0088085E">
        <w:rPr>
          <w:sz w:val="32"/>
          <w:szCs w:val="32"/>
        </w:rPr>
        <w:t xml:space="preserve">. Thus, they are </w:t>
      </w:r>
      <w:r w:rsidR="008D5B27">
        <w:rPr>
          <w:sz w:val="32"/>
          <w:szCs w:val="32"/>
        </w:rPr>
        <w:t>argue</w:t>
      </w:r>
      <w:r w:rsidR="0088085E">
        <w:rPr>
          <w:sz w:val="32"/>
          <w:szCs w:val="32"/>
        </w:rPr>
        <w:t xml:space="preserve"> for amnesty in some situations</w:t>
      </w:r>
      <w:r>
        <w:rPr>
          <w:sz w:val="32"/>
          <w:szCs w:val="32"/>
        </w:rPr>
        <w:t>.  There have also been a variety of amnesty provisions in peace agreements, most notably in the peace agreement rea</w:t>
      </w:r>
      <w:r w:rsidR="00D924CD">
        <w:rPr>
          <w:sz w:val="32"/>
          <w:szCs w:val="32"/>
        </w:rPr>
        <w:t>ched with the FARC guerrillas in Colombia (which complied with international law)</w:t>
      </w:r>
      <w:r w:rsidR="00F251CD">
        <w:rPr>
          <w:sz w:val="32"/>
          <w:szCs w:val="32"/>
        </w:rPr>
        <w:t xml:space="preserve"> as well as much broader amnesties, e.g., </w:t>
      </w:r>
      <w:r>
        <w:rPr>
          <w:sz w:val="32"/>
          <w:szCs w:val="32"/>
        </w:rPr>
        <w:t>Uganda, Northern Ireland that arguabl</w:t>
      </w:r>
      <w:r w:rsidR="00D924CD">
        <w:rPr>
          <w:sz w:val="32"/>
          <w:szCs w:val="32"/>
        </w:rPr>
        <w:t>y</w:t>
      </w:r>
      <w:r>
        <w:rPr>
          <w:sz w:val="32"/>
          <w:szCs w:val="32"/>
        </w:rPr>
        <w:t xml:space="preserve"> would not pass muster under current international law</w:t>
      </w:r>
      <w:r w:rsidR="00F251CD">
        <w:rPr>
          <w:sz w:val="32"/>
          <w:szCs w:val="32"/>
        </w:rPr>
        <w:t>.</w:t>
      </w:r>
      <w:r w:rsidR="0088085E">
        <w:rPr>
          <w:sz w:val="32"/>
          <w:szCs w:val="32"/>
        </w:rPr>
        <w:t xml:space="preserve">  We will look at the interplay of amnesties and accountability in the context of serious crimes.</w:t>
      </w:r>
    </w:p>
    <w:p w:rsidR="00BA26A7" w:rsidRDefault="00BA26A7" w:rsidP="008D7E75">
      <w:pPr>
        <w:jc w:val="both"/>
        <w:rPr>
          <w:sz w:val="32"/>
          <w:szCs w:val="32"/>
        </w:rPr>
      </w:pPr>
    </w:p>
    <w:p w:rsidR="008D7E75" w:rsidRDefault="008D7E75" w:rsidP="008D7E75">
      <w:pPr>
        <w:jc w:val="both"/>
        <w:rPr>
          <w:sz w:val="32"/>
          <w:szCs w:val="32"/>
        </w:rPr>
      </w:pPr>
      <w:r>
        <w:rPr>
          <w:sz w:val="32"/>
          <w:szCs w:val="32"/>
        </w:rPr>
        <w:t>Readings (required):</w:t>
      </w:r>
    </w:p>
    <w:p w:rsidR="009A6E5F" w:rsidRDefault="008D7E75" w:rsidP="008D7E75">
      <w:pPr>
        <w:pStyle w:val="ListParagraph"/>
        <w:rPr>
          <w:sz w:val="32"/>
          <w:szCs w:val="32"/>
        </w:rPr>
      </w:pPr>
      <w:r>
        <w:rPr>
          <w:sz w:val="32"/>
          <w:szCs w:val="32"/>
        </w:rPr>
        <w:t>Transitional Justice in the 21</w:t>
      </w:r>
      <w:r w:rsidRPr="00C02F21">
        <w:rPr>
          <w:sz w:val="32"/>
          <w:szCs w:val="32"/>
          <w:vertAlign w:val="superscript"/>
        </w:rPr>
        <w:t>st</w:t>
      </w:r>
      <w:r>
        <w:rPr>
          <w:sz w:val="32"/>
          <w:szCs w:val="32"/>
        </w:rPr>
        <w:t xml:space="preserve"> Century, pp. 20 – 29;</w:t>
      </w:r>
    </w:p>
    <w:p w:rsidR="00766221" w:rsidRDefault="00833FFC" w:rsidP="008D7E75">
      <w:pPr>
        <w:pStyle w:val="ListParagraph"/>
        <w:rPr>
          <w:sz w:val="32"/>
          <w:szCs w:val="32"/>
        </w:rPr>
      </w:pPr>
      <w:r>
        <w:rPr>
          <w:sz w:val="32"/>
          <w:szCs w:val="32"/>
        </w:rPr>
        <w:t xml:space="preserve"> </w:t>
      </w:r>
    </w:p>
    <w:p w:rsidR="00F251CD" w:rsidRDefault="00F251CD" w:rsidP="008D7E75">
      <w:pPr>
        <w:pStyle w:val="ListParagraph"/>
        <w:rPr>
          <w:sz w:val="32"/>
          <w:szCs w:val="32"/>
        </w:rPr>
      </w:pPr>
      <w:r>
        <w:rPr>
          <w:sz w:val="32"/>
          <w:szCs w:val="32"/>
        </w:rPr>
        <w:t xml:space="preserve">Overview of the ICC: available at, </w:t>
      </w:r>
      <w:hyperlink r:id="rId18" w:history="1">
        <w:r w:rsidRPr="003F7E6B">
          <w:rPr>
            <w:rStyle w:val="Hyperlink"/>
            <w:sz w:val="32"/>
            <w:szCs w:val="32"/>
          </w:rPr>
          <w:t>https://www.icc-cpi.int/iccdocs/PIDS/publications/UICCEng.pdf</w:t>
        </w:r>
      </w:hyperlink>
    </w:p>
    <w:p w:rsidR="00F251CD" w:rsidRDefault="00F251CD" w:rsidP="008D7E75">
      <w:pPr>
        <w:pStyle w:val="ListParagraph"/>
        <w:rPr>
          <w:sz w:val="32"/>
          <w:szCs w:val="32"/>
        </w:rPr>
      </w:pPr>
    </w:p>
    <w:p w:rsidR="0062030B" w:rsidRDefault="00D509A1" w:rsidP="008D7E75">
      <w:pPr>
        <w:pStyle w:val="ListParagraph"/>
        <w:rPr>
          <w:sz w:val="32"/>
          <w:szCs w:val="32"/>
        </w:rPr>
      </w:pPr>
      <w:r>
        <w:rPr>
          <w:sz w:val="32"/>
          <w:szCs w:val="32"/>
        </w:rPr>
        <w:t xml:space="preserve">T. Piccone, ‘Peace with Justice’ (Brookings Institute), </w:t>
      </w:r>
      <w:hyperlink r:id="rId19" w:history="1">
        <w:r w:rsidRPr="003F7E6B">
          <w:rPr>
            <w:rStyle w:val="Hyperlink"/>
            <w:sz w:val="32"/>
            <w:szCs w:val="32"/>
          </w:rPr>
          <w:t>https://www.brookings.edu/wp-content/uploads/2019/06/FP_20190708_colombia.pdf</w:t>
        </w:r>
      </w:hyperlink>
    </w:p>
    <w:p w:rsidR="008D7E75" w:rsidRDefault="008D7E75" w:rsidP="00F251CD">
      <w:pPr>
        <w:ind w:left="720"/>
        <w:rPr>
          <w:rStyle w:val="Hyperlink"/>
          <w:sz w:val="32"/>
          <w:szCs w:val="32"/>
        </w:rPr>
      </w:pPr>
      <w:r w:rsidRPr="00F251CD">
        <w:rPr>
          <w:sz w:val="32"/>
          <w:szCs w:val="32"/>
        </w:rPr>
        <w:t xml:space="preserve">P. Seils/ICTJ, The Handbook on Complementarity, available at </w:t>
      </w:r>
      <w:hyperlink r:id="rId20" w:history="1">
        <w:r w:rsidRPr="00F251CD">
          <w:rPr>
            <w:rStyle w:val="Hyperlink"/>
            <w:sz w:val="32"/>
            <w:szCs w:val="32"/>
          </w:rPr>
          <w:t>https://www.ictj.org/sites/default/files/ICTJ_Handbook_ICC_Complementarity_2016.pdf</w:t>
        </w:r>
      </w:hyperlink>
    </w:p>
    <w:p w:rsidR="00833FFC" w:rsidRDefault="0062030B" w:rsidP="00F251CD">
      <w:pPr>
        <w:ind w:left="720"/>
        <w:rPr>
          <w:rStyle w:val="Hyperlink"/>
          <w:sz w:val="32"/>
          <w:szCs w:val="32"/>
        </w:rPr>
      </w:pPr>
      <w:r>
        <w:rPr>
          <w:sz w:val="32"/>
          <w:szCs w:val="32"/>
        </w:rPr>
        <w:t xml:space="preserve">ICTJ </w:t>
      </w:r>
      <w:r w:rsidR="009A6E5F">
        <w:rPr>
          <w:sz w:val="32"/>
          <w:szCs w:val="32"/>
        </w:rPr>
        <w:t>Criminal Justice, a</w:t>
      </w:r>
      <w:r w:rsidR="00833FFC" w:rsidRPr="00833FFC">
        <w:rPr>
          <w:sz w:val="32"/>
          <w:szCs w:val="32"/>
        </w:rPr>
        <w:t xml:space="preserve">vailable at: </w:t>
      </w:r>
      <w:hyperlink r:id="rId21" w:history="1">
        <w:r w:rsidR="00833FFC" w:rsidRPr="00833FFC">
          <w:rPr>
            <w:rStyle w:val="Hyperlink"/>
            <w:sz w:val="32"/>
            <w:szCs w:val="32"/>
          </w:rPr>
          <w:t>https://www.ictj.org/our-work/transitional-justice-issues/criminal-justice</w:t>
        </w:r>
      </w:hyperlink>
    </w:p>
    <w:p w:rsidR="00833FFC" w:rsidRDefault="00833FFC" w:rsidP="00833FFC">
      <w:pPr>
        <w:ind w:left="720"/>
        <w:jc w:val="both"/>
        <w:rPr>
          <w:sz w:val="32"/>
          <w:szCs w:val="32"/>
        </w:rPr>
      </w:pPr>
      <w:r>
        <w:rPr>
          <w:rFonts w:cs="Arial"/>
          <w:color w:val="505050"/>
          <w:sz w:val="32"/>
          <w:szCs w:val="32"/>
        </w:rPr>
        <w:t>‘</w:t>
      </w:r>
      <w:r w:rsidR="0062030B">
        <w:rPr>
          <w:rFonts w:cs="Arial"/>
          <w:color w:val="505050"/>
          <w:sz w:val="32"/>
          <w:szCs w:val="32"/>
        </w:rPr>
        <w:t xml:space="preserve">Rethinking Peace and ‘Justice’: </w:t>
      </w:r>
      <w:hyperlink r:id="rId22" w:history="1">
        <w:r w:rsidRPr="00833FFC">
          <w:rPr>
            <w:rStyle w:val="Hyperlink"/>
            <w:sz w:val="32"/>
            <w:szCs w:val="32"/>
          </w:rPr>
          <w:t>https://www.ifit-transitions.org/resources/publications/major-publications-briefings/rethinking-peace-and-justice</w:t>
        </w:r>
      </w:hyperlink>
      <w:r w:rsidR="0062030B">
        <w:rPr>
          <w:sz w:val="32"/>
          <w:szCs w:val="32"/>
        </w:rPr>
        <w:t xml:space="preserve"> (Institute for Integrated Transitions).</w:t>
      </w:r>
    </w:p>
    <w:p w:rsidR="00833FFC" w:rsidRPr="00833FFC" w:rsidRDefault="00833FFC" w:rsidP="00833FFC">
      <w:pPr>
        <w:pStyle w:val="ListParagraph"/>
        <w:rPr>
          <w:rStyle w:val="Hyperlink"/>
          <w:sz w:val="32"/>
          <w:szCs w:val="32"/>
        </w:rPr>
      </w:pPr>
      <w:r>
        <w:rPr>
          <w:sz w:val="32"/>
          <w:szCs w:val="32"/>
        </w:rPr>
        <w:t xml:space="preserve">The Belfast Guidelines on Amnesty and Accountability: </w:t>
      </w:r>
      <w:r w:rsidRPr="00833FFC">
        <w:rPr>
          <w:rStyle w:val="Hyperlink"/>
          <w:sz w:val="32"/>
          <w:szCs w:val="32"/>
        </w:rPr>
        <w:t>https://peacemaker.un.org/sites/peacemaker.un.org/files/BelfastGuidelines_TJI2014.pdf.pdf</w:t>
      </w:r>
    </w:p>
    <w:p w:rsidR="00D509A1" w:rsidRDefault="00D509A1" w:rsidP="008D7E75">
      <w:pPr>
        <w:rPr>
          <w:sz w:val="32"/>
          <w:szCs w:val="32"/>
        </w:rPr>
      </w:pPr>
    </w:p>
    <w:p w:rsidR="008D7E75" w:rsidRDefault="00BA26A7" w:rsidP="008D7E75">
      <w:pPr>
        <w:rPr>
          <w:sz w:val="32"/>
          <w:szCs w:val="32"/>
        </w:rPr>
      </w:pPr>
      <w:r>
        <w:rPr>
          <w:sz w:val="32"/>
          <w:szCs w:val="32"/>
        </w:rPr>
        <w:t xml:space="preserve">20 April </w:t>
      </w:r>
      <w:r w:rsidR="008D7E75">
        <w:rPr>
          <w:sz w:val="32"/>
          <w:szCs w:val="32"/>
        </w:rPr>
        <w:t>2020,</w:t>
      </w:r>
      <w:r w:rsidR="00766221">
        <w:rPr>
          <w:sz w:val="32"/>
          <w:szCs w:val="32"/>
        </w:rPr>
        <w:t xml:space="preserve"> </w:t>
      </w:r>
      <w:r>
        <w:rPr>
          <w:sz w:val="32"/>
          <w:szCs w:val="32"/>
        </w:rPr>
        <w:t>Class 5</w:t>
      </w:r>
    </w:p>
    <w:p w:rsidR="008D7E75" w:rsidRDefault="00D509A1" w:rsidP="008D7E75">
      <w:pPr>
        <w:rPr>
          <w:sz w:val="32"/>
          <w:szCs w:val="32"/>
        </w:rPr>
      </w:pPr>
      <w:r>
        <w:rPr>
          <w:sz w:val="32"/>
          <w:szCs w:val="32"/>
        </w:rPr>
        <w:t xml:space="preserve">Topic: </w:t>
      </w:r>
      <w:r w:rsidR="008D7E75">
        <w:rPr>
          <w:sz w:val="32"/>
          <w:szCs w:val="32"/>
        </w:rPr>
        <w:t xml:space="preserve">What is </w:t>
      </w:r>
      <w:r w:rsidR="0088085E">
        <w:rPr>
          <w:sz w:val="32"/>
          <w:szCs w:val="32"/>
        </w:rPr>
        <w:t>‘</w:t>
      </w:r>
      <w:r w:rsidR="008D7E75">
        <w:rPr>
          <w:sz w:val="32"/>
          <w:szCs w:val="32"/>
        </w:rPr>
        <w:t>Truth</w:t>
      </w:r>
      <w:r w:rsidR="0088085E">
        <w:rPr>
          <w:sz w:val="32"/>
          <w:szCs w:val="32"/>
        </w:rPr>
        <w:t>’</w:t>
      </w:r>
      <w:r w:rsidR="008D7E75">
        <w:rPr>
          <w:sz w:val="32"/>
          <w:szCs w:val="32"/>
        </w:rPr>
        <w:t xml:space="preserve"> in Transitional Justice?’</w:t>
      </w:r>
    </w:p>
    <w:p w:rsidR="0088085E" w:rsidRDefault="0088085E" w:rsidP="009A6E5F">
      <w:pPr>
        <w:jc w:val="both"/>
        <w:rPr>
          <w:sz w:val="32"/>
          <w:szCs w:val="32"/>
        </w:rPr>
      </w:pPr>
      <w:r>
        <w:rPr>
          <w:sz w:val="32"/>
          <w:szCs w:val="32"/>
        </w:rPr>
        <w:tab/>
        <w:t xml:space="preserve">One of the key developments in the transitional justice field is the </w:t>
      </w:r>
      <w:r w:rsidR="00D359AD">
        <w:rPr>
          <w:sz w:val="32"/>
          <w:szCs w:val="32"/>
        </w:rPr>
        <w:t>role of ‘</w:t>
      </w:r>
      <w:r w:rsidR="009A6E5F">
        <w:rPr>
          <w:sz w:val="32"/>
          <w:szCs w:val="32"/>
        </w:rPr>
        <w:t>truth</w:t>
      </w:r>
      <w:r w:rsidR="00D359AD">
        <w:rPr>
          <w:sz w:val="32"/>
          <w:szCs w:val="32"/>
        </w:rPr>
        <w:t>’ as a TJ measure</w:t>
      </w:r>
      <w:r w:rsidR="009A6E5F">
        <w:rPr>
          <w:sz w:val="32"/>
          <w:szCs w:val="32"/>
        </w:rPr>
        <w:t>, which is</w:t>
      </w:r>
      <w:r w:rsidR="00F67588">
        <w:rPr>
          <w:sz w:val="32"/>
          <w:szCs w:val="32"/>
        </w:rPr>
        <w:t>, e.g.,</w:t>
      </w:r>
      <w:r w:rsidR="009A6E5F">
        <w:rPr>
          <w:sz w:val="32"/>
          <w:szCs w:val="32"/>
        </w:rPr>
        <w:t xml:space="preserve"> knowing what </w:t>
      </w:r>
      <w:r>
        <w:rPr>
          <w:sz w:val="32"/>
          <w:szCs w:val="32"/>
        </w:rPr>
        <w:t>happened with respect to the violations</w:t>
      </w:r>
      <w:r w:rsidR="009A6E5F">
        <w:rPr>
          <w:sz w:val="32"/>
          <w:szCs w:val="32"/>
        </w:rPr>
        <w:t xml:space="preserve">, who is responsible, what are the root causes and structures </w:t>
      </w:r>
      <w:r w:rsidR="00D359AD">
        <w:rPr>
          <w:sz w:val="32"/>
          <w:szCs w:val="32"/>
        </w:rPr>
        <w:t>that lead to the abuses</w:t>
      </w:r>
      <w:r>
        <w:rPr>
          <w:sz w:val="32"/>
          <w:szCs w:val="32"/>
        </w:rPr>
        <w:t xml:space="preserve"> whether in repression or conflict.  This has led to the emergence of truth commissions, which are non-judicial mechanisms that hear testimony, examine human rights violations and issue reports on the violations as well as the root causes of those violations.  In some cases, these truth commissions </w:t>
      </w:r>
      <w:r w:rsidR="009A6E5F">
        <w:rPr>
          <w:sz w:val="32"/>
          <w:szCs w:val="32"/>
        </w:rPr>
        <w:t xml:space="preserve">also make </w:t>
      </w:r>
      <w:r w:rsidR="00D359AD">
        <w:rPr>
          <w:sz w:val="32"/>
          <w:szCs w:val="32"/>
        </w:rPr>
        <w:t>referrals</w:t>
      </w:r>
      <w:r w:rsidR="009A6E5F">
        <w:rPr>
          <w:sz w:val="32"/>
          <w:szCs w:val="32"/>
        </w:rPr>
        <w:t xml:space="preserve"> to criminal courts (e.g., Tunisia) and/or</w:t>
      </w:r>
      <w:r w:rsidR="00D359AD">
        <w:rPr>
          <w:sz w:val="32"/>
          <w:szCs w:val="32"/>
        </w:rPr>
        <w:t xml:space="preserve"> (more often)</w:t>
      </w:r>
      <w:r w:rsidR="009A6E5F">
        <w:rPr>
          <w:sz w:val="32"/>
          <w:szCs w:val="32"/>
        </w:rPr>
        <w:t xml:space="preserve"> award reparations, order reforms and take others steps</w:t>
      </w:r>
      <w:r w:rsidR="00D359AD">
        <w:rPr>
          <w:sz w:val="32"/>
          <w:szCs w:val="32"/>
        </w:rPr>
        <w:t xml:space="preserve"> to address the violations</w:t>
      </w:r>
      <w:r w:rsidR="009A6E5F">
        <w:rPr>
          <w:sz w:val="32"/>
          <w:szCs w:val="32"/>
        </w:rPr>
        <w:t>. We will discuss the emergence of truth-telling processes, the strengths and weaknesses of those processes and the impact that these processes have had on addressing the root causes of the violations/prevention of future conflict and related issues.</w:t>
      </w:r>
      <w:r>
        <w:rPr>
          <w:sz w:val="32"/>
          <w:szCs w:val="32"/>
        </w:rPr>
        <w:t xml:space="preserve"> </w:t>
      </w:r>
    </w:p>
    <w:p w:rsidR="00D359AD" w:rsidRDefault="008D7E75" w:rsidP="008D7E75">
      <w:pPr>
        <w:rPr>
          <w:sz w:val="32"/>
          <w:szCs w:val="32"/>
        </w:rPr>
      </w:pPr>
      <w:r>
        <w:rPr>
          <w:sz w:val="32"/>
          <w:szCs w:val="32"/>
        </w:rPr>
        <w:t>Readings</w:t>
      </w:r>
      <w:r w:rsidR="00020AF0">
        <w:rPr>
          <w:sz w:val="32"/>
          <w:szCs w:val="32"/>
        </w:rPr>
        <w:t xml:space="preserve"> (required)</w:t>
      </w:r>
      <w:r>
        <w:rPr>
          <w:sz w:val="32"/>
          <w:szCs w:val="32"/>
        </w:rPr>
        <w:t>:</w:t>
      </w:r>
    </w:p>
    <w:p w:rsidR="00D509A1" w:rsidRDefault="008D7E75" w:rsidP="008D7E75">
      <w:pPr>
        <w:rPr>
          <w:sz w:val="32"/>
          <w:szCs w:val="32"/>
        </w:rPr>
      </w:pPr>
      <w:r>
        <w:rPr>
          <w:sz w:val="32"/>
          <w:szCs w:val="32"/>
        </w:rPr>
        <w:t xml:space="preserve">P. Haynor, </w:t>
      </w:r>
      <w:r>
        <w:rPr>
          <w:sz w:val="32"/>
          <w:szCs w:val="32"/>
          <w:u w:val="single"/>
        </w:rPr>
        <w:t>Unspeakable T</w:t>
      </w:r>
      <w:r w:rsidRPr="008D3A66">
        <w:rPr>
          <w:sz w:val="32"/>
          <w:szCs w:val="32"/>
          <w:u w:val="single"/>
        </w:rPr>
        <w:t>ruths</w:t>
      </w:r>
      <w:r>
        <w:rPr>
          <w:sz w:val="32"/>
          <w:szCs w:val="32"/>
        </w:rPr>
        <w:t xml:space="preserve">, pp. 1 – 25; 75 – 209; available at: </w:t>
      </w:r>
      <w:hyperlink r:id="rId23" w:history="1">
        <w:r w:rsidRPr="006070FF">
          <w:rPr>
            <w:rStyle w:val="Hyperlink"/>
            <w:sz w:val="32"/>
            <w:szCs w:val="32"/>
          </w:rPr>
          <w:t>https://www.mcgill.ca/isid/files/isid/priscilla_b._hayner_unspeakable_truths_transitibookzz.org_.pdf</w:t>
        </w:r>
      </w:hyperlink>
      <w:r w:rsidR="00D359AD">
        <w:rPr>
          <w:rStyle w:val="Hyperlink"/>
          <w:sz w:val="32"/>
          <w:szCs w:val="32"/>
        </w:rPr>
        <w:t xml:space="preserve"> </w:t>
      </w:r>
      <w:r w:rsidR="00D359AD">
        <w:rPr>
          <w:sz w:val="32"/>
          <w:szCs w:val="32"/>
        </w:rPr>
        <w:t>(2</w:t>
      </w:r>
      <w:r w:rsidR="00D359AD" w:rsidRPr="00D359AD">
        <w:rPr>
          <w:sz w:val="32"/>
          <w:szCs w:val="32"/>
          <w:vertAlign w:val="superscript"/>
        </w:rPr>
        <w:t>nd</w:t>
      </w:r>
      <w:r w:rsidR="00D359AD">
        <w:rPr>
          <w:sz w:val="32"/>
          <w:szCs w:val="32"/>
        </w:rPr>
        <w:t xml:space="preserve"> ed.).</w:t>
      </w:r>
    </w:p>
    <w:p w:rsidR="00020AF0" w:rsidRDefault="00020AF0" w:rsidP="008D7E75">
      <w:pPr>
        <w:rPr>
          <w:sz w:val="32"/>
          <w:szCs w:val="32"/>
        </w:rPr>
      </w:pPr>
      <w:r>
        <w:rPr>
          <w:sz w:val="32"/>
          <w:szCs w:val="32"/>
        </w:rPr>
        <w:t xml:space="preserve">Eduardo Gonzales/ICTJ, Drafting a Truth Commission Mandate, available at: </w:t>
      </w:r>
      <w:hyperlink r:id="rId24" w:history="1">
        <w:r w:rsidRPr="003F7E6B">
          <w:rPr>
            <w:rStyle w:val="Hyperlink"/>
            <w:sz w:val="32"/>
            <w:szCs w:val="32"/>
          </w:rPr>
          <w:t>https://www.ictj.org/sites/default/files/ICTJ-Report-DraftingMandate-Truth-Commission-2013_0.pdf</w:t>
        </w:r>
      </w:hyperlink>
    </w:p>
    <w:p w:rsidR="00020AF0" w:rsidRDefault="008D5B27" w:rsidP="008D7E75">
      <w:pPr>
        <w:rPr>
          <w:rFonts w:ascii="Source Sans Pro" w:hAnsi="Source Sans Pro"/>
          <w:color w:val="333333"/>
          <w:spacing w:val="4"/>
          <w:sz w:val="28"/>
          <w:szCs w:val="28"/>
          <w:shd w:val="clear" w:color="auto" w:fill="FFFFFF"/>
        </w:rPr>
      </w:pPr>
      <w:r>
        <w:rPr>
          <w:sz w:val="32"/>
          <w:szCs w:val="32"/>
        </w:rPr>
        <w:t>Susan Kemp,</w:t>
      </w:r>
      <w:r w:rsidR="00AE3934">
        <w:rPr>
          <w:sz w:val="32"/>
          <w:szCs w:val="32"/>
        </w:rPr>
        <w:t xml:space="preserve"> ‘The Inter-relationship between the Guatemalan Commission for Historical Clarification and the Search for Justice in the National Courts’</w:t>
      </w:r>
      <w:r w:rsidR="00AE3934" w:rsidRPr="00BA26A7">
        <w:rPr>
          <w:sz w:val="32"/>
          <w:szCs w:val="32"/>
        </w:rPr>
        <w:t xml:space="preserve">, </w:t>
      </w:r>
      <w:r w:rsidR="00AE3934" w:rsidRPr="00BA26A7">
        <w:rPr>
          <w:rFonts w:cstheme="minorHAnsi"/>
          <w:sz w:val="32"/>
          <w:szCs w:val="32"/>
        </w:rPr>
        <w:t>i</w:t>
      </w:r>
      <w:r w:rsidR="00AE3934" w:rsidRPr="00BA26A7">
        <w:rPr>
          <w:rFonts w:cstheme="minorHAnsi"/>
          <w:color w:val="333333"/>
          <w:spacing w:val="4"/>
          <w:sz w:val="32"/>
          <w:szCs w:val="32"/>
          <w:shd w:val="clear" w:color="auto" w:fill="FFFFFF"/>
        </w:rPr>
        <w:t xml:space="preserve">n: Schabas W., Darcy S. (eds.) </w:t>
      </w:r>
      <w:r w:rsidR="00AE3934" w:rsidRPr="00BA26A7">
        <w:rPr>
          <w:rFonts w:cstheme="minorHAnsi"/>
          <w:color w:val="333333"/>
          <w:spacing w:val="4"/>
          <w:sz w:val="32"/>
          <w:szCs w:val="32"/>
          <w:u w:val="single"/>
          <w:shd w:val="clear" w:color="auto" w:fill="FFFFFF"/>
        </w:rPr>
        <w:t>Truth Commissions And Courts.</w:t>
      </w:r>
      <w:r w:rsidR="00AE3934" w:rsidRPr="00BA26A7">
        <w:rPr>
          <w:rFonts w:cstheme="minorHAnsi"/>
          <w:color w:val="333333"/>
          <w:spacing w:val="4"/>
          <w:sz w:val="32"/>
          <w:szCs w:val="32"/>
          <w:shd w:val="clear" w:color="auto" w:fill="FFFFFF"/>
        </w:rPr>
        <w:t xml:space="preserve"> (Springer, Dordrecht).</w:t>
      </w:r>
      <w:r w:rsidR="00376C0C">
        <w:rPr>
          <w:rFonts w:ascii="Source Sans Pro" w:hAnsi="Source Sans Pro"/>
          <w:color w:val="333333"/>
          <w:spacing w:val="4"/>
          <w:sz w:val="28"/>
          <w:szCs w:val="28"/>
          <w:shd w:val="clear" w:color="auto" w:fill="FFFFFF"/>
        </w:rPr>
        <w:t xml:space="preserve"> </w:t>
      </w:r>
    </w:p>
    <w:p w:rsidR="00AE3934" w:rsidRPr="00AE3934" w:rsidRDefault="00AE3934" w:rsidP="008D7E75">
      <w:pPr>
        <w:rPr>
          <w:sz w:val="28"/>
          <w:szCs w:val="28"/>
        </w:rPr>
      </w:pPr>
    </w:p>
    <w:p w:rsidR="008D7E75" w:rsidRDefault="00766221" w:rsidP="008D7E75">
      <w:pPr>
        <w:rPr>
          <w:sz w:val="32"/>
          <w:szCs w:val="32"/>
        </w:rPr>
      </w:pPr>
      <w:r>
        <w:rPr>
          <w:sz w:val="32"/>
          <w:szCs w:val="32"/>
        </w:rPr>
        <w:t>2</w:t>
      </w:r>
      <w:r w:rsidR="00C43E79">
        <w:rPr>
          <w:sz w:val="32"/>
          <w:szCs w:val="32"/>
        </w:rPr>
        <w:t>0</w:t>
      </w:r>
      <w:r>
        <w:rPr>
          <w:sz w:val="32"/>
          <w:szCs w:val="32"/>
        </w:rPr>
        <w:t xml:space="preserve"> April </w:t>
      </w:r>
      <w:r w:rsidR="00BA26A7">
        <w:rPr>
          <w:sz w:val="32"/>
          <w:szCs w:val="32"/>
        </w:rPr>
        <w:t>2020, Class 6</w:t>
      </w:r>
    </w:p>
    <w:p w:rsidR="00402B90" w:rsidRDefault="00FE3513" w:rsidP="008D7E75">
      <w:pPr>
        <w:rPr>
          <w:sz w:val="32"/>
          <w:szCs w:val="32"/>
        </w:rPr>
      </w:pPr>
      <w:r>
        <w:rPr>
          <w:sz w:val="32"/>
          <w:szCs w:val="32"/>
        </w:rPr>
        <w:t xml:space="preserve">First Round: </w:t>
      </w:r>
      <w:r w:rsidR="00402B90">
        <w:rPr>
          <w:sz w:val="32"/>
          <w:szCs w:val="32"/>
        </w:rPr>
        <w:t>Presentations of Policy Briefs (no more than</w:t>
      </w:r>
      <w:r>
        <w:rPr>
          <w:sz w:val="32"/>
          <w:szCs w:val="32"/>
        </w:rPr>
        <w:t xml:space="preserve"> 20 minutes per person, see p. 3 above)</w:t>
      </w:r>
      <w:r w:rsidR="00402B90">
        <w:rPr>
          <w:sz w:val="32"/>
          <w:szCs w:val="32"/>
        </w:rPr>
        <w:t xml:space="preserve"> </w:t>
      </w:r>
    </w:p>
    <w:p w:rsidR="008D7E75" w:rsidRDefault="00CF0071" w:rsidP="008D7E75">
      <w:pPr>
        <w:rPr>
          <w:sz w:val="32"/>
          <w:szCs w:val="32"/>
        </w:rPr>
      </w:pPr>
      <w:r>
        <w:rPr>
          <w:sz w:val="32"/>
          <w:szCs w:val="32"/>
        </w:rPr>
        <w:t xml:space="preserve">Topic: </w:t>
      </w:r>
      <w:r w:rsidR="008D7E75">
        <w:rPr>
          <w:sz w:val="32"/>
          <w:szCs w:val="32"/>
        </w:rPr>
        <w:t>‘Reparations’</w:t>
      </w:r>
      <w:r w:rsidR="00F23793">
        <w:rPr>
          <w:sz w:val="32"/>
          <w:szCs w:val="32"/>
        </w:rPr>
        <w:t xml:space="preserve"> (and Memorialization) </w:t>
      </w:r>
    </w:p>
    <w:p w:rsidR="00F23793" w:rsidRDefault="002F69C6" w:rsidP="00F23793">
      <w:pPr>
        <w:jc w:val="both"/>
        <w:rPr>
          <w:sz w:val="32"/>
          <w:szCs w:val="32"/>
        </w:rPr>
      </w:pPr>
      <w:r>
        <w:rPr>
          <w:sz w:val="32"/>
          <w:szCs w:val="32"/>
        </w:rPr>
        <w:tab/>
      </w:r>
      <w:r w:rsidR="00F23793">
        <w:rPr>
          <w:sz w:val="32"/>
          <w:szCs w:val="32"/>
        </w:rPr>
        <w:t xml:space="preserve">The </w:t>
      </w:r>
      <w:r>
        <w:rPr>
          <w:sz w:val="32"/>
          <w:szCs w:val="32"/>
        </w:rPr>
        <w:t>right to reparations</w:t>
      </w:r>
      <w:r w:rsidR="00F23793">
        <w:rPr>
          <w:sz w:val="32"/>
          <w:szCs w:val="32"/>
        </w:rPr>
        <w:t xml:space="preserve"> and a remedy for violations of human rights is the TJ measure that, arguably, has the most direct impact of victims, as reparations provide direct recompense for the injuries that they have suffered.  Thus, the UN has adopted principles that establish a right to a remedy and reparations. Some TJ measures, such as the Extraordinary Chambers in the Courts of Cambodia (‘ECCC’)</w:t>
      </w:r>
      <w:r w:rsidR="000A4374">
        <w:rPr>
          <w:sz w:val="32"/>
          <w:szCs w:val="32"/>
        </w:rPr>
        <w:t>,</w:t>
      </w:r>
      <w:r w:rsidR="00F23793">
        <w:rPr>
          <w:sz w:val="32"/>
          <w:szCs w:val="32"/>
        </w:rPr>
        <w:t xml:space="preserve"> have ordered memorials for victim</w:t>
      </w:r>
      <w:r w:rsidR="000A4374">
        <w:rPr>
          <w:sz w:val="32"/>
          <w:szCs w:val="32"/>
        </w:rPr>
        <w:t>s</w:t>
      </w:r>
      <w:r w:rsidR="00F23793">
        <w:rPr>
          <w:sz w:val="32"/>
          <w:szCs w:val="32"/>
        </w:rPr>
        <w:t xml:space="preserve"> as a reparations measure.  While memorialization is, conceptually, a distinct aspect of TJ and a form of acknowledgment, we will take up memorialization in this class as well.</w:t>
      </w:r>
    </w:p>
    <w:p w:rsidR="00F23793" w:rsidRPr="00F23793" w:rsidRDefault="00F23793" w:rsidP="008D7E75">
      <w:pPr>
        <w:rPr>
          <w:sz w:val="32"/>
          <w:szCs w:val="32"/>
        </w:rPr>
      </w:pPr>
      <w:r w:rsidRPr="00F23793">
        <w:rPr>
          <w:sz w:val="32"/>
          <w:szCs w:val="32"/>
        </w:rPr>
        <w:t>Reading (required):</w:t>
      </w:r>
    </w:p>
    <w:p w:rsidR="00CF0071" w:rsidRDefault="00CF0071" w:rsidP="00376C0C">
      <w:pPr>
        <w:autoSpaceDE w:val="0"/>
        <w:autoSpaceDN w:val="0"/>
        <w:adjustRightInd w:val="0"/>
        <w:spacing w:after="0" w:line="240" w:lineRule="auto"/>
        <w:rPr>
          <w:sz w:val="32"/>
          <w:szCs w:val="32"/>
        </w:rPr>
      </w:pPr>
      <w:r w:rsidRPr="00F23793">
        <w:rPr>
          <w:sz w:val="32"/>
          <w:szCs w:val="32"/>
        </w:rPr>
        <w:tab/>
      </w:r>
      <w:r w:rsidR="002F69C6" w:rsidRPr="00F23793">
        <w:rPr>
          <w:rFonts w:cs="TimesNewRomanPS-ItalicMT+T42+WV"/>
          <w:iCs/>
          <w:sz w:val="32"/>
          <w:szCs w:val="32"/>
        </w:rPr>
        <w:t>UN Basic Principles and Guidelines on the Right to a Remedy and Reparation for</w:t>
      </w:r>
      <w:r w:rsidR="00376C0C">
        <w:rPr>
          <w:rFonts w:cs="TimesNewRomanPS-ItalicMT+T42+WV"/>
          <w:iCs/>
          <w:sz w:val="32"/>
          <w:szCs w:val="32"/>
        </w:rPr>
        <w:t xml:space="preserve"> </w:t>
      </w:r>
      <w:r w:rsidR="002F69C6" w:rsidRPr="00F23793">
        <w:rPr>
          <w:rFonts w:cs="TimesNewRomanPS-ItalicMT+T42+WV"/>
          <w:iCs/>
          <w:sz w:val="32"/>
          <w:szCs w:val="32"/>
        </w:rPr>
        <w:t>Gross Violations of International Human Rights Law and Serious Violations of</w:t>
      </w:r>
      <w:r w:rsidR="00376C0C">
        <w:rPr>
          <w:rFonts w:cs="TimesNewRomanPS-ItalicMT+T42+WV"/>
          <w:iCs/>
          <w:sz w:val="32"/>
          <w:szCs w:val="32"/>
        </w:rPr>
        <w:t xml:space="preserve"> </w:t>
      </w:r>
      <w:r w:rsidR="002F69C6" w:rsidRPr="00F23793">
        <w:rPr>
          <w:rFonts w:cs="TimesNewRomanPS-ItalicMT+T42+WV"/>
          <w:iCs/>
          <w:sz w:val="32"/>
          <w:szCs w:val="32"/>
        </w:rPr>
        <w:t xml:space="preserve">International Humanitarian Law </w:t>
      </w:r>
      <w:r w:rsidR="002F69C6" w:rsidRPr="00F23793">
        <w:rPr>
          <w:rFonts w:cs="TimesNewRomanPSMT+T42+SCCFYK"/>
          <w:sz w:val="32"/>
          <w:szCs w:val="32"/>
        </w:rPr>
        <w:t>assert</w:t>
      </w:r>
      <w:r w:rsidR="00376C0C">
        <w:rPr>
          <w:rFonts w:cs="TimesNewRomanPSMT+T42+SCCFYK"/>
          <w:sz w:val="32"/>
          <w:szCs w:val="32"/>
        </w:rPr>
        <w:t xml:space="preserve">, available at: </w:t>
      </w:r>
      <w:hyperlink r:id="rId25" w:history="1">
        <w:r w:rsidRPr="003F7E6B">
          <w:rPr>
            <w:rStyle w:val="Hyperlink"/>
            <w:sz w:val="32"/>
            <w:szCs w:val="32"/>
          </w:rPr>
          <w:t>https://www.ictj.org/sites/default/files/ICTJ-Global-Reparations-Practice-2007-English.pdf</w:t>
        </w:r>
      </w:hyperlink>
    </w:p>
    <w:p w:rsidR="00376C0C" w:rsidRDefault="00376C0C" w:rsidP="00376C0C">
      <w:pPr>
        <w:autoSpaceDE w:val="0"/>
        <w:autoSpaceDN w:val="0"/>
        <w:adjustRightInd w:val="0"/>
        <w:spacing w:after="0" w:line="240" w:lineRule="auto"/>
        <w:rPr>
          <w:sz w:val="32"/>
          <w:szCs w:val="32"/>
        </w:rPr>
      </w:pPr>
    </w:p>
    <w:p w:rsidR="00376C0C" w:rsidRDefault="00376C0C" w:rsidP="00376C0C">
      <w:pPr>
        <w:autoSpaceDE w:val="0"/>
        <w:autoSpaceDN w:val="0"/>
        <w:adjustRightInd w:val="0"/>
        <w:spacing w:after="0" w:line="240" w:lineRule="auto"/>
        <w:rPr>
          <w:sz w:val="32"/>
          <w:szCs w:val="32"/>
        </w:rPr>
      </w:pPr>
      <w:r>
        <w:rPr>
          <w:sz w:val="32"/>
          <w:szCs w:val="32"/>
        </w:rPr>
        <w:tab/>
        <w:t xml:space="preserve">Lisa Magarrell/ ICTJ, ‘Reparations in Theory and Practice’, available at </w:t>
      </w:r>
      <w:hyperlink r:id="rId26" w:history="1">
        <w:r w:rsidRPr="003F7E6B">
          <w:rPr>
            <w:rStyle w:val="Hyperlink"/>
            <w:sz w:val="32"/>
            <w:szCs w:val="32"/>
          </w:rPr>
          <w:t>https://www.ictj.org/sites/default/files/ICTJ-Global-Reparations-Practice-2007-English.pdf</w:t>
        </w:r>
      </w:hyperlink>
    </w:p>
    <w:p w:rsidR="00376C0C" w:rsidRDefault="00376C0C" w:rsidP="00376C0C">
      <w:pPr>
        <w:autoSpaceDE w:val="0"/>
        <w:autoSpaceDN w:val="0"/>
        <w:adjustRightInd w:val="0"/>
        <w:spacing w:after="0" w:line="240" w:lineRule="auto"/>
        <w:rPr>
          <w:sz w:val="32"/>
          <w:szCs w:val="32"/>
        </w:rPr>
      </w:pPr>
    </w:p>
    <w:p w:rsidR="00CF0071" w:rsidRDefault="00376C0C" w:rsidP="008D7E75">
      <w:pPr>
        <w:rPr>
          <w:sz w:val="32"/>
          <w:szCs w:val="32"/>
        </w:rPr>
      </w:pPr>
      <w:r>
        <w:rPr>
          <w:sz w:val="32"/>
          <w:szCs w:val="32"/>
        </w:rPr>
        <w:tab/>
      </w:r>
      <w:r w:rsidR="008D48FA">
        <w:rPr>
          <w:sz w:val="32"/>
          <w:szCs w:val="32"/>
        </w:rPr>
        <w:t xml:space="preserve">Ruben Carranza, ‘The Right to Remedy in Situations of Poverty”, available at </w:t>
      </w:r>
      <w:hyperlink r:id="rId27" w:history="1">
        <w:r w:rsidR="008D48FA" w:rsidRPr="003F7E6B">
          <w:rPr>
            <w:rStyle w:val="Hyperlink"/>
            <w:sz w:val="32"/>
            <w:szCs w:val="32"/>
          </w:rPr>
          <w:t>https://www.ictj.org/sites/default/files/ICTJ-Global-Right-Reparation-2009-English.pdf</w:t>
        </w:r>
      </w:hyperlink>
    </w:p>
    <w:p w:rsidR="008D48FA" w:rsidRDefault="008D48FA" w:rsidP="008D7E75">
      <w:pPr>
        <w:rPr>
          <w:sz w:val="32"/>
          <w:szCs w:val="32"/>
        </w:rPr>
      </w:pPr>
      <w:r>
        <w:rPr>
          <w:sz w:val="32"/>
          <w:szCs w:val="32"/>
        </w:rPr>
        <w:tab/>
        <w:t>P</w:t>
      </w:r>
      <w:r w:rsidR="00B73B83">
        <w:rPr>
          <w:sz w:val="32"/>
          <w:szCs w:val="32"/>
        </w:rPr>
        <w:t>ablo De Gr</w:t>
      </w:r>
      <w:r>
        <w:rPr>
          <w:sz w:val="32"/>
          <w:szCs w:val="32"/>
        </w:rPr>
        <w:t>e</w:t>
      </w:r>
      <w:r w:rsidR="00B73B83">
        <w:rPr>
          <w:sz w:val="32"/>
          <w:szCs w:val="32"/>
        </w:rPr>
        <w:t>i</w:t>
      </w:r>
      <w:r>
        <w:rPr>
          <w:sz w:val="32"/>
          <w:szCs w:val="32"/>
        </w:rPr>
        <w:t xml:space="preserve">ff (ed.), </w:t>
      </w:r>
      <w:r w:rsidRPr="008D48FA">
        <w:rPr>
          <w:sz w:val="32"/>
          <w:szCs w:val="32"/>
          <w:u w:val="single"/>
        </w:rPr>
        <w:t>The Handbook on Reparations</w:t>
      </w:r>
      <w:r>
        <w:rPr>
          <w:sz w:val="32"/>
          <w:szCs w:val="32"/>
        </w:rPr>
        <w:t>, (OUP, 2006), Introduction, chapters 1 and 12 (OUP, 2006).</w:t>
      </w:r>
    </w:p>
    <w:p w:rsidR="000140FD" w:rsidRDefault="000140FD" w:rsidP="000140FD">
      <w:pPr>
        <w:ind w:firstLine="720"/>
        <w:rPr>
          <w:rStyle w:val="Hyperlink"/>
          <w:sz w:val="32"/>
          <w:szCs w:val="32"/>
        </w:rPr>
      </w:pPr>
      <w:r>
        <w:rPr>
          <w:sz w:val="32"/>
          <w:szCs w:val="32"/>
        </w:rPr>
        <w:t xml:space="preserve">Brett, Bickford, Sevenko and Rios, Memorialization and State Action: State Policy and Civic Action, </w:t>
      </w:r>
      <w:hyperlink r:id="rId28" w:history="1">
        <w:r w:rsidRPr="003F7E6B">
          <w:rPr>
            <w:rStyle w:val="Hyperlink"/>
            <w:sz w:val="32"/>
            <w:szCs w:val="32"/>
          </w:rPr>
          <w:t>https://www.ictj.org/sites/default/files/ICTJ-Global-Memorialization-Democracy-2007-English_0.pdf</w:t>
        </w:r>
      </w:hyperlink>
    </w:p>
    <w:p w:rsidR="009A4811" w:rsidRDefault="009A4811" w:rsidP="000140FD">
      <w:pPr>
        <w:ind w:firstLine="720"/>
        <w:rPr>
          <w:sz w:val="32"/>
          <w:szCs w:val="32"/>
        </w:rPr>
      </w:pPr>
    </w:p>
    <w:p w:rsidR="008D48FA" w:rsidRDefault="009A4811" w:rsidP="008D7E75">
      <w:pPr>
        <w:rPr>
          <w:sz w:val="32"/>
          <w:szCs w:val="32"/>
        </w:rPr>
      </w:pPr>
      <w:r>
        <w:rPr>
          <w:sz w:val="32"/>
          <w:szCs w:val="32"/>
        </w:rPr>
        <w:t>Readings (o</w:t>
      </w:r>
      <w:r w:rsidR="008D48FA">
        <w:rPr>
          <w:sz w:val="32"/>
          <w:szCs w:val="32"/>
        </w:rPr>
        <w:t>ptional</w:t>
      </w:r>
      <w:r>
        <w:rPr>
          <w:sz w:val="32"/>
          <w:szCs w:val="32"/>
        </w:rPr>
        <w:t>)</w:t>
      </w:r>
      <w:r w:rsidR="008D48FA">
        <w:rPr>
          <w:sz w:val="32"/>
          <w:szCs w:val="32"/>
        </w:rPr>
        <w:t xml:space="preserve">: </w:t>
      </w:r>
    </w:p>
    <w:p w:rsidR="008D48FA" w:rsidRDefault="008D48FA" w:rsidP="008D7E75">
      <w:pPr>
        <w:rPr>
          <w:sz w:val="32"/>
          <w:szCs w:val="32"/>
        </w:rPr>
      </w:pPr>
      <w:r>
        <w:rPr>
          <w:sz w:val="32"/>
          <w:szCs w:val="32"/>
        </w:rPr>
        <w:tab/>
        <w:t>Other chapters in De Gr</w:t>
      </w:r>
      <w:r w:rsidR="00B73B83">
        <w:rPr>
          <w:sz w:val="32"/>
          <w:szCs w:val="32"/>
        </w:rPr>
        <w:t>ei</w:t>
      </w:r>
      <w:r>
        <w:rPr>
          <w:sz w:val="32"/>
          <w:szCs w:val="32"/>
        </w:rPr>
        <w:t xml:space="preserve">ff above, e.g., chapters 12, 14, 18, 19. </w:t>
      </w:r>
    </w:p>
    <w:p w:rsidR="000140FD" w:rsidRDefault="000140FD" w:rsidP="008D7E75">
      <w:pPr>
        <w:rPr>
          <w:sz w:val="32"/>
          <w:szCs w:val="32"/>
        </w:rPr>
      </w:pPr>
    </w:p>
    <w:p w:rsidR="008D7E75" w:rsidRDefault="0047616E" w:rsidP="008D7E75">
      <w:pPr>
        <w:rPr>
          <w:sz w:val="32"/>
          <w:szCs w:val="32"/>
        </w:rPr>
      </w:pPr>
      <w:r>
        <w:rPr>
          <w:sz w:val="32"/>
          <w:szCs w:val="32"/>
        </w:rPr>
        <w:t>27</w:t>
      </w:r>
      <w:r w:rsidR="00C43E79">
        <w:rPr>
          <w:sz w:val="32"/>
          <w:szCs w:val="32"/>
        </w:rPr>
        <w:t xml:space="preserve"> April </w:t>
      </w:r>
      <w:r w:rsidR="008D7E75">
        <w:rPr>
          <w:sz w:val="32"/>
          <w:szCs w:val="32"/>
        </w:rPr>
        <w:t xml:space="preserve">2020, </w:t>
      </w:r>
      <w:r w:rsidR="00BA26A7">
        <w:rPr>
          <w:sz w:val="32"/>
          <w:szCs w:val="32"/>
        </w:rPr>
        <w:t>Class 7</w:t>
      </w:r>
    </w:p>
    <w:p w:rsidR="00FE3513" w:rsidRDefault="00FE3513" w:rsidP="00FE3513">
      <w:pPr>
        <w:rPr>
          <w:sz w:val="32"/>
          <w:szCs w:val="32"/>
        </w:rPr>
      </w:pPr>
      <w:r>
        <w:rPr>
          <w:sz w:val="32"/>
          <w:szCs w:val="32"/>
        </w:rPr>
        <w:tab/>
        <w:t xml:space="preserve">Second Round: Presentations of Policy Briefs (no more than 20 minutes per person, see p. 3 above) </w:t>
      </w:r>
    </w:p>
    <w:p w:rsidR="008D7E75" w:rsidRDefault="000140FD" w:rsidP="000140FD">
      <w:pPr>
        <w:ind w:firstLine="720"/>
        <w:rPr>
          <w:sz w:val="32"/>
          <w:szCs w:val="32"/>
        </w:rPr>
      </w:pPr>
      <w:r>
        <w:rPr>
          <w:sz w:val="32"/>
          <w:szCs w:val="32"/>
        </w:rPr>
        <w:t>Topic: G</w:t>
      </w:r>
      <w:r w:rsidR="008D7E75">
        <w:rPr>
          <w:sz w:val="32"/>
          <w:szCs w:val="32"/>
        </w:rPr>
        <w:t>uarantees</w:t>
      </w:r>
      <w:r>
        <w:rPr>
          <w:sz w:val="32"/>
          <w:szCs w:val="32"/>
        </w:rPr>
        <w:t xml:space="preserve"> of non-recurrence</w:t>
      </w:r>
    </w:p>
    <w:p w:rsidR="00C16929" w:rsidRDefault="00B73B83" w:rsidP="00AF7BEF">
      <w:pPr>
        <w:jc w:val="both"/>
        <w:rPr>
          <w:sz w:val="32"/>
          <w:szCs w:val="32"/>
        </w:rPr>
      </w:pPr>
      <w:r>
        <w:rPr>
          <w:sz w:val="32"/>
          <w:szCs w:val="32"/>
        </w:rPr>
        <w:tab/>
      </w:r>
      <w:r w:rsidR="00BE6BF5">
        <w:rPr>
          <w:sz w:val="32"/>
          <w:szCs w:val="32"/>
        </w:rPr>
        <w:t xml:space="preserve">In addition to the other principal measures of transitional justice, </w:t>
      </w:r>
      <w:r w:rsidR="008D2A62">
        <w:rPr>
          <w:sz w:val="32"/>
          <w:szCs w:val="32"/>
        </w:rPr>
        <w:t xml:space="preserve">another </w:t>
      </w:r>
      <w:r w:rsidR="00BE6BF5">
        <w:rPr>
          <w:sz w:val="32"/>
          <w:szCs w:val="32"/>
        </w:rPr>
        <w:t xml:space="preserve">category </w:t>
      </w:r>
      <w:r w:rsidR="008D2A62">
        <w:rPr>
          <w:sz w:val="32"/>
          <w:szCs w:val="32"/>
        </w:rPr>
        <w:t xml:space="preserve">of TJ covers </w:t>
      </w:r>
      <w:r w:rsidR="00BE6BF5">
        <w:rPr>
          <w:sz w:val="32"/>
          <w:szCs w:val="32"/>
        </w:rPr>
        <w:t xml:space="preserve">several important processes, often referred to as guarantees of non-recurrence. These processes are measures or step </w:t>
      </w:r>
      <w:r w:rsidR="008D2A62">
        <w:rPr>
          <w:sz w:val="32"/>
          <w:szCs w:val="32"/>
        </w:rPr>
        <w:t xml:space="preserve">taken </w:t>
      </w:r>
      <w:r w:rsidR="00BE6BF5">
        <w:rPr>
          <w:sz w:val="32"/>
          <w:szCs w:val="32"/>
        </w:rPr>
        <w:t>to ensure the protection of human rights for the future, i.e., to prevent reoccurrence of violations of human rights norms.  These measures will depend on the context of th</w:t>
      </w:r>
      <w:r w:rsidR="008D2A62">
        <w:rPr>
          <w:sz w:val="32"/>
          <w:szCs w:val="32"/>
        </w:rPr>
        <w:t>e country but often involve</w:t>
      </w:r>
      <w:r w:rsidR="00BE6BF5">
        <w:rPr>
          <w:sz w:val="32"/>
          <w:szCs w:val="32"/>
        </w:rPr>
        <w:t xml:space="preserve"> the removal of perpetrators of human rights abuses from the security forces through vetting processes</w:t>
      </w:r>
      <w:r w:rsidR="00C16929">
        <w:rPr>
          <w:sz w:val="32"/>
          <w:szCs w:val="32"/>
        </w:rPr>
        <w:t xml:space="preserve">, reforms or restructuring of the military and police and constitutional change. Reforms are also directed at the judiciary to increase independence and effectiveness. Constitutional reforms also form part of the ‘tool kit’.  However, </w:t>
      </w:r>
      <w:r w:rsidR="008D2A62">
        <w:rPr>
          <w:sz w:val="32"/>
          <w:szCs w:val="32"/>
        </w:rPr>
        <w:t xml:space="preserve">the current approach </w:t>
      </w:r>
      <w:r w:rsidR="00C16929">
        <w:rPr>
          <w:sz w:val="32"/>
          <w:szCs w:val="32"/>
        </w:rPr>
        <w:t>seems a very narrow view of these guarantees and arguably there is much more that might be done to buttress prevention in a more coherent and substantive way</w:t>
      </w:r>
      <w:r w:rsidR="008D2A62">
        <w:rPr>
          <w:sz w:val="32"/>
          <w:szCs w:val="32"/>
        </w:rPr>
        <w:t xml:space="preserve"> (see </w:t>
      </w:r>
      <w:r w:rsidR="008D2A62" w:rsidRPr="00AF7BEF">
        <w:rPr>
          <w:rFonts w:cs="Cambria"/>
          <w:sz w:val="32"/>
          <w:szCs w:val="32"/>
        </w:rPr>
        <w:t>Roht-Arriaza</w:t>
      </w:r>
      <w:r w:rsidR="008D2A62">
        <w:rPr>
          <w:rFonts w:cs="Cambria"/>
          <w:sz w:val="32"/>
          <w:szCs w:val="32"/>
        </w:rPr>
        <w:t xml:space="preserve"> below)</w:t>
      </w:r>
      <w:r w:rsidR="00C16929">
        <w:rPr>
          <w:sz w:val="32"/>
          <w:szCs w:val="32"/>
        </w:rPr>
        <w:t xml:space="preserve">. </w:t>
      </w:r>
    </w:p>
    <w:p w:rsidR="00C16929" w:rsidRDefault="00C16929" w:rsidP="00AF7BEF">
      <w:pPr>
        <w:jc w:val="both"/>
        <w:rPr>
          <w:sz w:val="32"/>
          <w:szCs w:val="32"/>
        </w:rPr>
      </w:pPr>
      <w:r>
        <w:rPr>
          <w:sz w:val="32"/>
          <w:szCs w:val="32"/>
        </w:rPr>
        <w:tab/>
        <w:t xml:space="preserve">One avenue that we will explore is the way other truth commissions make recommendations for reform/guarantees of non-recurrence.  </w:t>
      </w:r>
    </w:p>
    <w:p w:rsidR="00C16929" w:rsidRDefault="008D7E75" w:rsidP="008D7E75">
      <w:pPr>
        <w:pStyle w:val="Default"/>
        <w:rPr>
          <w:rFonts w:asciiTheme="minorHAnsi" w:hAnsiTheme="minorHAnsi" w:cstheme="minorHAnsi"/>
          <w:sz w:val="32"/>
          <w:szCs w:val="32"/>
        </w:rPr>
      </w:pPr>
      <w:r>
        <w:rPr>
          <w:sz w:val="32"/>
          <w:szCs w:val="32"/>
        </w:rPr>
        <w:tab/>
      </w:r>
      <w:r w:rsidRPr="00E65DC4">
        <w:rPr>
          <w:rFonts w:asciiTheme="minorHAnsi" w:hAnsiTheme="minorHAnsi" w:cstheme="minorHAnsi"/>
          <w:sz w:val="32"/>
          <w:szCs w:val="32"/>
        </w:rPr>
        <w:t>Reading</w:t>
      </w:r>
      <w:r w:rsidR="00C16929">
        <w:rPr>
          <w:rFonts w:asciiTheme="minorHAnsi" w:hAnsiTheme="minorHAnsi" w:cstheme="minorHAnsi"/>
          <w:sz w:val="32"/>
          <w:szCs w:val="32"/>
        </w:rPr>
        <w:t xml:space="preserve"> (required)</w:t>
      </w:r>
      <w:r w:rsidRPr="00E65DC4">
        <w:rPr>
          <w:rFonts w:asciiTheme="minorHAnsi" w:hAnsiTheme="minorHAnsi" w:cstheme="minorHAnsi"/>
          <w:sz w:val="32"/>
          <w:szCs w:val="32"/>
        </w:rPr>
        <w:t>:</w:t>
      </w:r>
    </w:p>
    <w:p w:rsidR="00C16929" w:rsidRDefault="00C16929" w:rsidP="008D7E75">
      <w:pPr>
        <w:pStyle w:val="Default"/>
        <w:rPr>
          <w:rFonts w:asciiTheme="minorHAnsi" w:hAnsiTheme="minorHAnsi" w:cstheme="minorHAnsi"/>
          <w:sz w:val="32"/>
          <w:szCs w:val="32"/>
        </w:rPr>
      </w:pPr>
    </w:p>
    <w:p w:rsidR="008D7E75" w:rsidRDefault="00E231A7" w:rsidP="00E231A7">
      <w:pPr>
        <w:autoSpaceDE w:val="0"/>
        <w:autoSpaceDN w:val="0"/>
        <w:adjustRightInd w:val="0"/>
        <w:spacing w:after="0" w:line="201" w:lineRule="atLeast"/>
        <w:ind w:left="380"/>
        <w:rPr>
          <w:rStyle w:val="Hyperlink"/>
          <w:rFonts w:cstheme="minorHAnsi"/>
          <w:sz w:val="32"/>
          <w:szCs w:val="32"/>
        </w:rPr>
      </w:pPr>
      <w:r>
        <w:rPr>
          <w:rFonts w:cstheme="minorHAnsi"/>
          <w:sz w:val="32"/>
          <w:szCs w:val="32"/>
        </w:rPr>
        <w:t xml:space="preserve">DCAF, </w:t>
      </w:r>
      <w:r w:rsidRPr="00E231A7">
        <w:rPr>
          <w:rFonts w:cs="Saira ExtraLight Italic"/>
          <w:iCs/>
          <w:color w:val="000000" w:themeColor="text1"/>
          <w:sz w:val="32"/>
          <w:szCs w:val="32"/>
        </w:rPr>
        <w:t>Alexander Mayer-Rieckh</w:t>
      </w:r>
      <w:r>
        <w:rPr>
          <w:rFonts w:cs="Saira ExtraLight Italic"/>
          <w:iCs/>
          <w:color w:val="000000" w:themeColor="text1"/>
          <w:sz w:val="32"/>
          <w:szCs w:val="32"/>
        </w:rPr>
        <w:t>/</w:t>
      </w:r>
      <w:r w:rsidRPr="00E231A7">
        <w:rPr>
          <w:rFonts w:cs="Saira ExtraLight Italic"/>
          <w:iCs/>
          <w:color w:val="000000" w:themeColor="text1"/>
          <w:sz w:val="32"/>
          <w:szCs w:val="32"/>
        </w:rPr>
        <w:t>Howard Varney</w:t>
      </w:r>
      <w:r>
        <w:rPr>
          <w:rFonts w:cs="Saira ExtraLight Italic"/>
          <w:iCs/>
          <w:color w:val="000000" w:themeColor="text1"/>
          <w:sz w:val="32"/>
          <w:szCs w:val="32"/>
        </w:rPr>
        <w:t xml:space="preserve">, Truth Commission Recommendations on Institutional Reforms: An Overview: available at </w:t>
      </w:r>
      <w:hyperlink r:id="rId29" w:history="1">
        <w:r w:rsidR="008D7E75" w:rsidRPr="006070FF">
          <w:rPr>
            <w:rStyle w:val="Hyperlink"/>
            <w:rFonts w:cstheme="minorHAnsi"/>
            <w:sz w:val="32"/>
            <w:szCs w:val="32"/>
          </w:rPr>
          <w:t>https://www.dcaf.ch/sites/default/files/publications/documents/International%20study%20%28ENG%29%20-%20Mapping%20of%20TRC%20recommendations%20-%20publication%20version.pdf</w:t>
        </w:r>
      </w:hyperlink>
      <w:r>
        <w:rPr>
          <w:rStyle w:val="Hyperlink"/>
          <w:rFonts w:cstheme="minorHAnsi"/>
          <w:sz w:val="32"/>
          <w:szCs w:val="32"/>
        </w:rPr>
        <w:t>,</w:t>
      </w:r>
    </w:p>
    <w:p w:rsidR="00E231A7" w:rsidRDefault="00E231A7" w:rsidP="00E231A7">
      <w:pPr>
        <w:autoSpaceDE w:val="0"/>
        <w:autoSpaceDN w:val="0"/>
        <w:adjustRightInd w:val="0"/>
        <w:spacing w:after="0" w:line="201" w:lineRule="atLeast"/>
        <w:ind w:left="380"/>
        <w:rPr>
          <w:rStyle w:val="Hyperlink"/>
          <w:rFonts w:cstheme="minorHAnsi"/>
          <w:sz w:val="32"/>
          <w:szCs w:val="32"/>
        </w:rPr>
      </w:pPr>
    </w:p>
    <w:p w:rsidR="00E231A7" w:rsidRDefault="00E231A7" w:rsidP="00AF7BEF">
      <w:pPr>
        <w:autoSpaceDE w:val="0"/>
        <w:autoSpaceDN w:val="0"/>
        <w:adjustRightInd w:val="0"/>
        <w:spacing w:after="0" w:line="240" w:lineRule="auto"/>
        <w:ind w:left="380"/>
        <w:rPr>
          <w:rFonts w:cs="Cambria"/>
          <w:sz w:val="32"/>
          <w:szCs w:val="32"/>
        </w:rPr>
      </w:pPr>
      <w:r w:rsidRPr="00AF7BEF">
        <w:rPr>
          <w:rFonts w:cs="Cambria"/>
          <w:sz w:val="32"/>
          <w:szCs w:val="32"/>
        </w:rPr>
        <w:t xml:space="preserve">Naomi Roht-Arriaza, ‘Measures of Non-Repetition in Transitional Justice: The Missing Link?’, available at </w:t>
      </w:r>
      <w:hyperlink r:id="rId30" w:history="1">
        <w:r w:rsidR="00AF7BEF" w:rsidRPr="003F7E6B">
          <w:rPr>
            <w:rStyle w:val="Hyperlink"/>
            <w:rFonts w:cs="Cambria"/>
            <w:sz w:val="32"/>
            <w:szCs w:val="32"/>
          </w:rPr>
          <w:t>https://poseidon01.ssrn.com/delivery.php?ID=681105073027020001018087100123098029122047004088035085027090096031068127102118121077126045101012021097047093071102120127120100114008094039021095077020001100124088031060078024020124007101113000075123106074031086115079066095102029065096089095109080099115&amp;EXT=pdf</w:t>
        </w:r>
      </w:hyperlink>
    </w:p>
    <w:p w:rsidR="00AF7BEF" w:rsidRPr="00AF7BEF" w:rsidRDefault="00AF7BEF" w:rsidP="00AF7BEF">
      <w:pPr>
        <w:autoSpaceDE w:val="0"/>
        <w:autoSpaceDN w:val="0"/>
        <w:adjustRightInd w:val="0"/>
        <w:spacing w:after="0" w:line="240" w:lineRule="auto"/>
        <w:ind w:left="380"/>
        <w:rPr>
          <w:rFonts w:cs="Cambria"/>
          <w:sz w:val="32"/>
          <w:szCs w:val="32"/>
        </w:rPr>
      </w:pPr>
    </w:p>
    <w:p w:rsidR="00E231A7" w:rsidRDefault="00E231A7" w:rsidP="00E231A7">
      <w:pPr>
        <w:autoSpaceDE w:val="0"/>
        <w:autoSpaceDN w:val="0"/>
        <w:adjustRightInd w:val="0"/>
        <w:spacing w:after="0" w:line="201" w:lineRule="atLeast"/>
        <w:ind w:left="380"/>
        <w:rPr>
          <w:rFonts w:cs="TimesNewRomanPS-BoldMT"/>
          <w:bCs/>
          <w:sz w:val="32"/>
          <w:szCs w:val="32"/>
        </w:rPr>
      </w:pPr>
      <w:r w:rsidRPr="00E231A7">
        <w:rPr>
          <w:rFonts w:cs="TimesNewRomanPS-BoldMT"/>
          <w:bCs/>
          <w:sz w:val="32"/>
          <w:szCs w:val="32"/>
        </w:rPr>
        <w:t>Payne</w:t>
      </w:r>
      <w:r>
        <w:rPr>
          <w:rFonts w:cs="TimesNewRomanPS-BoldMT"/>
          <w:bCs/>
          <w:sz w:val="32"/>
          <w:szCs w:val="32"/>
        </w:rPr>
        <w:t xml:space="preserve"> et al., </w:t>
      </w:r>
      <w:r w:rsidRPr="00E231A7">
        <w:rPr>
          <w:rFonts w:cs="TimesNewRomanPS-BoldMT"/>
          <w:bCs/>
          <w:sz w:val="32"/>
          <w:szCs w:val="32"/>
        </w:rPr>
        <w:t>Conflict Prevention and Guarantees of Non-Recurrence</w:t>
      </w:r>
      <w:r>
        <w:rPr>
          <w:rFonts w:cs="TimesNewRomanPS-BoldMT"/>
          <w:bCs/>
          <w:sz w:val="32"/>
          <w:szCs w:val="32"/>
        </w:rPr>
        <w:t xml:space="preserve">, available at: </w:t>
      </w:r>
      <w:hyperlink r:id="rId31" w:history="1">
        <w:r w:rsidRPr="003F7E6B">
          <w:rPr>
            <w:rStyle w:val="Hyperlink"/>
            <w:rFonts w:cs="TimesNewRomanPS-BoldMT"/>
            <w:bCs/>
            <w:sz w:val="32"/>
            <w:szCs w:val="32"/>
          </w:rPr>
          <w:t>https://www.legal-tools.org/doc/53cb7e/pdf</w:t>
        </w:r>
      </w:hyperlink>
    </w:p>
    <w:p w:rsidR="00E231A7" w:rsidRPr="00E231A7" w:rsidRDefault="00E231A7" w:rsidP="00E231A7">
      <w:pPr>
        <w:autoSpaceDE w:val="0"/>
        <w:autoSpaceDN w:val="0"/>
        <w:adjustRightInd w:val="0"/>
        <w:spacing w:after="0" w:line="201" w:lineRule="atLeast"/>
        <w:ind w:left="380"/>
        <w:rPr>
          <w:rFonts w:cstheme="minorHAnsi"/>
          <w:sz w:val="32"/>
          <w:szCs w:val="32"/>
        </w:rPr>
      </w:pPr>
      <w:r w:rsidRPr="00E231A7">
        <w:rPr>
          <w:rFonts w:cs="TimesNewRomanPS-BoldMT"/>
          <w:bCs/>
          <w:sz w:val="32"/>
          <w:szCs w:val="32"/>
        </w:rPr>
        <w:t xml:space="preserve"> </w:t>
      </w:r>
    </w:p>
    <w:p w:rsidR="008D7E75" w:rsidRDefault="008D7E75" w:rsidP="008D7E75">
      <w:pPr>
        <w:rPr>
          <w:sz w:val="32"/>
          <w:szCs w:val="32"/>
        </w:rPr>
      </w:pPr>
      <w:r>
        <w:rPr>
          <w:sz w:val="32"/>
          <w:szCs w:val="32"/>
        </w:rPr>
        <w:t xml:space="preserve">27 </w:t>
      </w:r>
      <w:r w:rsidR="00C43E79">
        <w:rPr>
          <w:sz w:val="32"/>
          <w:szCs w:val="32"/>
        </w:rPr>
        <w:t xml:space="preserve">April </w:t>
      </w:r>
      <w:r>
        <w:rPr>
          <w:sz w:val="32"/>
          <w:szCs w:val="32"/>
        </w:rPr>
        <w:t xml:space="preserve">2010, </w:t>
      </w:r>
      <w:r w:rsidR="00C43E79">
        <w:rPr>
          <w:sz w:val="32"/>
          <w:szCs w:val="32"/>
        </w:rPr>
        <w:t>Class 8</w:t>
      </w:r>
    </w:p>
    <w:p w:rsidR="008D7E75" w:rsidRDefault="008D7E75" w:rsidP="008D7E75">
      <w:pPr>
        <w:rPr>
          <w:sz w:val="32"/>
          <w:szCs w:val="32"/>
        </w:rPr>
      </w:pPr>
      <w:r>
        <w:rPr>
          <w:sz w:val="32"/>
          <w:szCs w:val="32"/>
        </w:rPr>
        <w:tab/>
        <w:t>Corruption and Economic Crimes</w:t>
      </w:r>
    </w:p>
    <w:p w:rsidR="00AF7BEF" w:rsidRDefault="00AF7BEF" w:rsidP="008D2A62">
      <w:pPr>
        <w:jc w:val="both"/>
        <w:rPr>
          <w:sz w:val="32"/>
          <w:szCs w:val="32"/>
        </w:rPr>
      </w:pPr>
      <w:r>
        <w:rPr>
          <w:sz w:val="32"/>
          <w:szCs w:val="32"/>
        </w:rPr>
        <w:tab/>
        <w:t xml:space="preserve">Economic crimes and corruption have been on the margins of transitional justice processes despite </w:t>
      </w:r>
      <w:r w:rsidR="008D2A62">
        <w:rPr>
          <w:sz w:val="32"/>
          <w:szCs w:val="32"/>
        </w:rPr>
        <w:t xml:space="preserve">the fact that </w:t>
      </w:r>
      <w:r>
        <w:rPr>
          <w:sz w:val="32"/>
          <w:szCs w:val="32"/>
        </w:rPr>
        <w:t>corruption and economic grievances have played a significant role in fueling conflict.  This is in part due to the difficult</w:t>
      </w:r>
      <w:r w:rsidR="00CC1CA8">
        <w:rPr>
          <w:sz w:val="32"/>
          <w:szCs w:val="32"/>
        </w:rPr>
        <w:t>ies</w:t>
      </w:r>
      <w:r>
        <w:rPr>
          <w:sz w:val="32"/>
          <w:szCs w:val="32"/>
        </w:rPr>
        <w:t xml:space="preserve"> in addressing economic crimes</w:t>
      </w:r>
      <w:r w:rsidR="00CC1CA8">
        <w:rPr>
          <w:sz w:val="32"/>
          <w:szCs w:val="32"/>
        </w:rPr>
        <w:t>, e.g., pillage,</w:t>
      </w:r>
      <w:r>
        <w:rPr>
          <w:sz w:val="32"/>
          <w:szCs w:val="32"/>
        </w:rPr>
        <w:t xml:space="preserve"> and the entrenched interests that</w:t>
      </w:r>
      <w:r w:rsidR="00CC1CA8">
        <w:rPr>
          <w:sz w:val="32"/>
          <w:szCs w:val="32"/>
        </w:rPr>
        <w:t xml:space="preserve"> push back against the prosecution of those crimes or seek to hide the gains made through corruption and economic plunder.  The question to be explored is how these efforts might be strengthened and what are the forces that are preventing pursu</w:t>
      </w:r>
      <w:r w:rsidR="008D2A62">
        <w:rPr>
          <w:sz w:val="32"/>
          <w:szCs w:val="32"/>
        </w:rPr>
        <w:t xml:space="preserve">it of </w:t>
      </w:r>
      <w:r w:rsidR="00CC1CA8">
        <w:rPr>
          <w:sz w:val="32"/>
          <w:szCs w:val="32"/>
        </w:rPr>
        <w:t>the actors committing those crimes?</w:t>
      </w:r>
      <w:r>
        <w:rPr>
          <w:sz w:val="32"/>
          <w:szCs w:val="32"/>
        </w:rPr>
        <w:t xml:space="preserve"> </w:t>
      </w:r>
    </w:p>
    <w:p w:rsidR="00CC1CA8" w:rsidRDefault="00CC1CA8" w:rsidP="008D7E75">
      <w:pPr>
        <w:spacing w:before="100" w:beforeAutospacing="1" w:after="100" w:afterAutospacing="1" w:line="540" w:lineRule="atLeast"/>
        <w:outlineLvl w:val="0"/>
        <w:rPr>
          <w:rFonts w:eastAsia="Times New Roman" w:cstheme="minorHAnsi"/>
          <w:color w:val="333333"/>
          <w:sz w:val="32"/>
          <w:szCs w:val="32"/>
        </w:rPr>
      </w:pPr>
      <w:r w:rsidRPr="00CC1CA8">
        <w:rPr>
          <w:rFonts w:eastAsia="Times New Roman" w:cstheme="minorHAnsi"/>
          <w:color w:val="333333"/>
          <w:kern w:val="36"/>
          <w:sz w:val="32"/>
          <w:szCs w:val="32"/>
        </w:rPr>
        <w:t xml:space="preserve">Reading (required): </w:t>
      </w:r>
    </w:p>
    <w:p w:rsidR="008D7E75" w:rsidRDefault="00CC1CA8" w:rsidP="008D7E75">
      <w:pPr>
        <w:spacing w:before="100" w:beforeAutospacing="1" w:after="100" w:afterAutospacing="1" w:line="540" w:lineRule="atLeast"/>
        <w:outlineLvl w:val="0"/>
        <w:rPr>
          <w:rFonts w:eastAsia="Times New Roman" w:cstheme="minorHAnsi"/>
          <w:color w:val="333333"/>
          <w:sz w:val="32"/>
          <w:szCs w:val="32"/>
        </w:rPr>
      </w:pPr>
      <w:r w:rsidRPr="00CC1CA8">
        <w:rPr>
          <w:rFonts w:cs="Arial"/>
          <w:color w:val="545454"/>
          <w:sz w:val="32"/>
          <w:szCs w:val="32"/>
          <w:lang w:val="en"/>
        </w:rPr>
        <w:t>K Andrieu</w:t>
      </w:r>
      <w:r w:rsidRPr="00CC1CA8">
        <w:rPr>
          <w:rFonts w:cs="Arial"/>
          <w:color w:val="545454"/>
          <w:sz w:val="28"/>
          <w:szCs w:val="28"/>
          <w:lang w:val="en"/>
        </w:rPr>
        <w:t>,</w:t>
      </w:r>
      <w:r>
        <w:rPr>
          <w:rFonts w:eastAsia="Times New Roman" w:cstheme="minorHAnsi"/>
          <w:color w:val="333333"/>
          <w:sz w:val="32"/>
          <w:szCs w:val="32"/>
        </w:rPr>
        <w:t xml:space="preserve"> </w:t>
      </w:r>
      <w:r w:rsidR="008D2A62">
        <w:rPr>
          <w:rFonts w:eastAsia="Times New Roman" w:cstheme="minorHAnsi"/>
          <w:color w:val="333333"/>
          <w:sz w:val="32"/>
          <w:szCs w:val="32"/>
        </w:rPr>
        <w:t>‘</w:t>
      </w:r>
      <w:r w:rsidR="008D7E75" w:rsidRPr="00CC1CA8">
        <w:rPr>
          <w:rFonts w:eastAsia="Times New Roman" w:cstheme="minorHAnsi"/>
          <w:color w:val="333333"/>
          <w:sz w:val="32"/>
          <w:szCs w:val="32"/>
        </w:rPr>
        <w:t>Should Anticorruption Be Part of the Transitional Justice</w:t>
      </w:r>
      <w:r w:rsidR="008D7E75" w:rsidRPr="00CC1CA8">
        <w:rPr>
          <w:rFonts w:eastAsia="Times New Roman" w:cstheme="minorHAnsi"/>
          <w:b/>
          <w:bCs/>
          <w:color w:val="333333"/>
          <w:sz w:val="32"/>
          <w:szCs w:val="32"/>
        </w:rPr>
        <w:t xml:space="preserve"> </w:t>
      </w:r>
      <w:r w:rsidR="008D7E75" w:rsidRPr="00CC1CA8">
        <w:rPr>
          <w:rFonts w:eastAsia="Times New Roman" w:cstheme="minorHAnsi"/>
          <w:color w:val="333333"/>
          <w:sz w:val="32"/>
          <w:szCs w:val="32"/>
        </w:rPr>
        <w:t>Agenda?</w:t>
      </w:r>
      <w:r w:rsidR="008D2A62">
        <w:rPr>
          <w:rFonts w:eastAsia="Times New Roman" w:cstheme="minorHAnsi"/>
          <w:color w:val="333333"/>
          <w:sz w:val="32"/>
          <w:szCs w:val="32"/>
        </w:rPr>
        <w:t>’</w:t>
      </w:r>
      <w:r w:rsidR="008D7E75" w:rsidRPr="00CC1CA8">
        <w:rPr>
          <w:rFonts w:eastAsia="Times New Roman" w:cstheme="minorHAnsi"/>
          <w:color w:val="333333"/>
          <w:sz w:val="32"/>
          <w:szCs w:val="32"/>
        </w:rPr>
        <w:t xml:space="preserve"> 11 Journal of Human Rights 537 – 557 (2012).</w:t>
      </w:r>
    </w:p>
    <w:p w:rsidR="006076AD" w:rsidRPr="00CC1CA8" w:rsidRDefault="008D2A62" w:rsidP="008D7E75">
      <w:pPr>
        <w:spacing w:before="100" w:beforeAutospacing="1" w:after="100" w:afterAutospacing="1" w:line="540" w:lineRule="atLeast"/>
        <w:outlineLvl w:val="0"/>
        <w:rPr>
          <w:rFonts w:eastAsia="Times New Roman" w:cstheme="minorHAnsi"/>
          <w:color w:val="333333"/>
          <w:sz w:val="32"/>
          <w:szCs w:val="32"/>
        </w:rPr>
      </w:pPr>
      <w:r>
        <w:rPr>
          <w:rFonts w:eastAsia="Times New Roman" w:cstheme="minorHAnsi"/>
          <w:color w:val="333333"/>
          <w:sz w:val="32"/>
          <w:szCs w:val="32"/>
        </w:rPr>
        <w:t>James Stewart, ‘</w:t>
      </w:r>
      <w:r w:rsidR="006076AD">
        <w:rPr>
          <w:rFonts w:eastAsia="Times New Roman" w:cstheme="minorHAnsi"/>
          <w:color w:val="333333"/>
          <w:sz w:val="32"/>
          <w:szCs w:val="32"/>
        </w:rPr>
        <w:t>Corporate War Crimes</w:t>
      </w:r>
      <w:r>
        <w:rPr>
          <w:rFonts w:eastAsia="Times New Roman" w:cstheme="minorHAnsi"/>
          <w:color w:val="333333"/>
          <w:sz w:val="32"/>
          <w:szCs w:val="32"/>
        </w:rPr>
        <w:t>’</w:t>
      </w:r>
      <w:r w:rsidR="006076AD">
        <w:rPr>
          <w:rFonts w:eastAsia="Times New Roman" w:cstheme="minorHAnsi"/>
          <w:color w:val="333333"/>
          <w:sz w:val="32"/>
          <w:szCs w:val="32"/>
        </w:rPr>
        <w:t xml:space="preserve">, available at: </w:t>
      </w:r>
      <w:hyperlink r:id="rId32" w:history="1">
        <w:r w:rsidR="006076AD" w:rsidRPr="003F7E6B">
          <w:rPr>
            <w:rStyle w:val="Hyperlink"/>
            <w:rFonts w:eastAsia="Times New Roman" w:cstheme="minorHAnsi"/>
            <w:sz w:val="32"/>
            <w:szCs w:val="32"/>
          </w:rPr>
          <w:t>https://www.justiceinitiative.org/uploads/9a7c2390-4d10-4f0b-9f0c-f62d578c7d9b/pillage-manual-2nd-edition-2011.pdf</w:t>
        </w:r>
      </w:hyperlink>
      <w:r w:rsidR="006076AD">
        <w:rPr>
          <w:rFonts w:eastAsia="Times New Roman" w:cstheme="minorHAnsi"/>
          <w:color w:val="333333"/>
          <w:sz w:val="32"/>
          <w:szCs w:val="32"/>
        </w:rPr>
        <w:t xml:space="preserve"> (pp. 1 – 39).</w:t>
      </w:r>
    </w:p>
    <w:p w:rsidR="008D7E75" w:rsidRDefault="008D7E75" w:rsidP="008D7E75">
      <w:pPr>
        <w:pStyle w:val="NormalWeb"/>
        <w:rPr>
          <w:rStyle w:val="Hyperlink"/>
          <w:rFonts w:asciiTheme="minorHAnsi" w:hAnsiTheme="minorHAnsi" w:cstheme="minorHAnsi"/>
          <w:sz w:val="32"/>
          <w:szCs w:val="32"/>
        </w:rPr>
      </w:pPr>
      <w:r w:rsidRPr="00CC1CA8">
        <w:rPr>
          <w:rFonts w:asciiTheme="minorHAnsi" w:hAnsiTheme="minorHAnsi" w:cstheme="minorHAnsi"/>
          <w:color w:val="333333"/>
          <w:sz w:val="32"/>
          <w:szCs w:val="32"/>
        </w:rPr>
        <w:t xml:space="preserve">Ruben Carranza, </w:t>
      </w:r>
      <w:r w:rsidR="008D2A62">
        <w:rPr>
          <w:rFonts w:asciiTheme="minorHAnsi" w:hAnsiTheme="minorHAnsi" w:cstheme="minorHAnsi"/>
          <w:color w:val="333333"/>
          <w:sz w:val="32"/>
          <w:szCs w:val="32"/>
        </w:rPr>
        <w:t>‘</w:t>
      </w:r>
      <w:r w:rsidRPr="00CC1CA8">
        <w:rPr>
          <w:rFonts w:asciiTheme="minorHAnsi" w:hAnsiTheme="minorHAnsi" w:cstheme="minorHAnsi"/>
          <w:sz w:val="32"/>
          <w:szCs w:val="32"/>
        </w:rPr>
        <w:t>Plunder and Pain: Should Transitional Justice Engage with Corruption and Economic Crimes?</w:t>
      </w:r>
      <w:r w:rsidR="008D2A62">
        <w:rPr>
          <w:rFonts w:asciiTheme="minorHAnsi" w:hAnsiTheme="minorHAnsi" w:cstheme="minorHAnsi"/>
          <w:sz w:val="32"/>
          <w:szCs w:val="32"/>
        </w:rPr>
        <w:t>’</w:t>
      </w:r>
      <w:r w:rsidRPr="00CC1CA8">
        <w:rPr>
          <w:rFonts w:asciiTheme="minorHAnsi" w:hAnsiTheme="minorHAnsi" w:cstheme="minorHAnsi"/>
          <w:sz w:val="32"/>
          <w:szCs w:val="32"/>
        </w:rPr>
        <w:t>,</w:t>
      </w:r>
      <w:r w:rsidRPr="00CC1CA8">
        <w:rPr>
          <w:rFonts w:asciiTheme="minorHAnsi" w:hAnsiTheme="minorHAnsi"/>
          <w:b/>
          <w:bCs/>
          <w:sz w:val="34"/>
          <w:szCs w:val="34"/>
        </w:rPr>
        <w:t xml:space="preserve"> </w:t>
      </w:r>
      <w:r w:rsidRPr="00CC1CA8">
        <w:rPr>
          <w:rFonts w:asciiTheme="minorHAnsi" w:hAnsiTheme="minorHAnsi" w:cstheme="minorHAnsi"/>
          <w:color w:val="333333"/>
          <w:sz w:val="32"/>
          <w:szCs w:val="32"/>
        </w:rPr>
        <w:t xml:space="preserve">available at, </w:t>
      </w:r>
      <w:hyperlink r:id="rId33" w:history="1">
        <w:r w:rsidRPr="00CC1CA8">
          <w:rPr>
            <w:rStyle w:val="Hyperlink"/>
            <w:rFonts w:asciiTheme="minorHAnsi" w:hAnsiTheme="minorHAnsi" w:cstheme="minorHAnsi"/>
            <w:sz w:val="32"/>
            <w:szCs w:val="32"/>
          </w:rPr>
          <w:t>https://www.ictj.org/sites/default/files/IJTJ-Global-Justice-Corruption-2008-English.pdf</w:t>
        </w:r>
      </w:hyperlink>
    </w:p>
    <w:p w:rsidR="00CC1CA8" w:rsidRDefault="00CC1CA8" w:rsidP="00CC1CA8">
      <w:pPr>
        <w:autoSpaceDE w:val="0"/>
        <w:autoSpaceDN w:val="0"/>
        <w:adjustRightInd w:val="0"/>
        <w:spacing w:after="0" w:line="240" w:lineRule="auto"/>
        <w:rPr>
          <w:rFonts w:cs="MiloOT-Medi"/>
          <w:sz w:val="32"/>
          <w:szCs w:val="32"/>
        </w:rPr>
      </w:pPr>
      <w:r w:rsidRPr="00CC1CA8">
        <w:rPr>
          <w:rFonts w:cs="MiloOT-Medi"/>
          <w:sz w:val="32"/>
          <w:szCs w:val="32"/>
        </w:rPr>
        <w:t>Agatha Ndonga and Ruben Carranza,</w:t>
      </w:r>
      <w:r>
        <w:rPr>
          <w:rFonts w:cs="MiloOT-Medi"/>
          <w:sz w:val="28"/>
          <w:szCs w:val="28"/>
        </w:rPr>
        <w:t xml:space="preserve"> </w:t>
      </w:r>
      <w:r w:rsidRPr="00CC1CA8">
        <w:rPr>
          <w:rFonts w:cs="MiloOT-Medi"/>
          <w:sz w:val="32"/>
          <w:szCs w:val="32"/>
        </w:rPr>
        <w:t>Can Building Bridges Break the Cycles of</w:t>
      </w:r>
      <w:r>
        <w:rPr>
          <w:rFonts w:cs="MiloOT-Medi"/>
          <w:sz w:val="32"/>
          <w:szCs w:val="32"/>
        </w:rPr>
        <w:t xml:space="preserve"> </w:t>
      </w:r>
      <w:r w:rsidRPr="00CC1CA8">
        <w:rPr>
          <w:rFonts w:cs="MiloOT-Medi"/>
          <w:sz w:val="32"/>
          <w:szCs w:val="32"/>
        </w:rPr>
        <w:t>Corruption and Political Violence in Kenya?</w:t>
      </w:r>
      <w:r>
        <w:rPr>
          <w:rFonts w:cs="MiloOT-Medi"/>
          <w:sz w:val="32"/>
          <w:szCs w:val="32"/>
        </w:rPr>
        <w:t xml:space="preserve"> Available at, </w:t>
      </w:r>
      <w:hyperlink r:id="rId34" w:history="1">
        <w:r w:rsidRPr="003F7E6B">
          <w:rPr>
            <w:rStyle w:val="Hyperlink"/>
            <w:rFonts w:cs="MiloOT-Medi"/>
            <w:sz w:val="32"/>
            <w:szCs w:val="32"/>
          </w:rPr>
          <w:t>https://www.ictj.org/sites/default/files/ICTJ_Briefing_Kenya_Cycle%20of%20Corruption%20Brief-Web.pdf</w:t>
        </w:r>
      </w:hyperlink>
    </w:p>
    <w:p w:rsidR="00C43E79" w:rsidRDefault="00C43E79" w:rsidP="008D7E75">
      <w:pPr>
        <w:rPr>
          <w:sz w:val="32"/>
          <w:szCs w:val="32"/>
        </w:rPr>
      </w:pPr>
    </w:p>
    <w:p w:rsidR="008E345A" w:rsidRDefault="005260AB" w:rsidP="008D7E75">
      <w:pPr>
        <w:rPr>
          <w:sz w:val="32"/>
          <w:szCs w:val="32"/>
        </w:rPr>
      </w:pPr>
      <w:r>
        <w:rPr>
          <w:sz w:val="32"/>
          <w:szCs w:val="32"/>
        </w:rPr>
        <w:t xml:space="preserve">4 May </w:t>
      </w:r>
      <w:r w:rsidR="0047616E">
        <w:rPr>
          <w:sz w:val="32"/>
          <w:szCs w:val="32"/>
        </w:rPr>
        <w:t>2020, Class 9</w:t>
      </w:r>
      <w:r w:rsidR="008D7E75">
        <w:rPr>
          <w:sz w:val="32"/>
          <w:szCs w:val="32"/>
        </w:rPr>
        <w:tab/>
      </w:r>
    </w:p>
    <w:p w:rsidR="008D7E75" w:rsidRDefault="008D7E75" w:rsidP="008D7E75">
      <w:pPr>
        <w:rPr>
          <w:sz w:val="32"/>
          <w:szCs w:val="32"/>
        </w:rPr>
      </w:pPr>
      <w:r>
        <w:rPr>
          <w:sz w:val="32"/>
          <w:szCs w:val="32"/>
        </w:rPr>
        <w:t xml:space="preserve">Topic: Peace and Justice </w:t>
      </w:r>
    </w:p>
    <w:p w:rsidR="007420C8" w:rsidRDefault="007420C8" w:rsidP="007420C8">
      <w:pPr>
        <w:jc w:val="both"/>
        <w:rPr>
          <w:sz w:val="32"/>
          <w:szCs w:val="32"/>
        </w:rPr>
      </w:pPr>
      <w:r>
        <w:rPr>
          <w:sz w:val="32"/>
          <w:szCs w:val="32"/>
        </w:rPr>
        <w:tab/>
        <w:t>One of the major points of dispute in the transitional justice field as well more generally in the negotiating of peace agreements is the question of whether peace and just</w:t>
      </w:r>
      <w:r w:rsidR="008D2A62">
        <w:rPr>
          <w:sz w:val="32"/>
          <w:szCs w:val="32"/>
        </w:rPr>
        <w:t>ice can</w:t>
      </w:r>
      <w:r>
        <w:rPr>
          <w:sz w:val="32"/>
          <w:szCs w:val="32"/>
        </w:rPr>
        <w:t xml:space="preserve"> coexist in these negotiations.  With the advent of the ICC</w:t>
      </w:r>
      <w:r w:rsidR="008D2A62">
        <w:rPr>
          <w:sz w:val="32"/>
          <w:szCs w:val="32"/>
        </w:rPr>
        <w:t xml:space="preserve"> and other international war crimes tribunals</w:t>
      </w:r>
      <w:r>
        <w:rPr>
          <w:sz w:val="32"/>
          <w:szCs w:val="32"/>
        </w:rPr>
        <w:t>, there is tension between accountability and making a peace agreement work, as the leadership of the warring parties are not likely to agree to a peace agreement that leaves them open for prosecution.  There are various strategies to deal with this conflict, but the rise of the ICC and international criminal justice has caused a number of issues.  However, in some situations like Colombia innovative approaches have succeeded to ‘square the circle’.</w:t>
      </w:r>
    </w:p>
    <w:p w:rsidR="008D7E75" w:rsidRDefault="008D7E75" w:rsidP="008D7E75">
      <w:pPr>
        <w:rPr>
          <w:sz w:val="32"/>
          <w:szCs w:val="32"/>
        </w:rPr>
      </w:pPr>
      <w:r>
        <w:rPr>
          <w:sz w:val="32"/>
          <w:szCs w:val="32"/>
        </w:rPr>
        <w:t>Readings (required):</w:t>
      </w:r>
    </w:p>
    <w:p w:rsidR="008D7E75" w:rsidRDefault="008D7E75" w:rsidP="008D7E75">
      <w:pPr>
        <w:rPr>
          <w:sz w:val="32"/>
          <w:szCs w:val="32"/>
        </w:rPr>
      </w:pPr>
      <w:r>
        <w:rPr>
          <w:sz w:val="32"/>
          <w:szCs w:val="32"/>
        </w:rPr>
        <w:t>P. Hayner, The Peacemaker’s Paradox, pp. 1 – 85</w:t>
      </w:r>
    </w:p>
    <w:p w:rsidR="008D7E75" w:rsidRDefault="008D7E75" w:rsidP="008D7E75">
      <w:pPr>
        <w:rPr>
          <w:rStyle w:val="Hyperlink"/>
          <w:sz w:val="32"/>
          <w:szCs w:val="32"/>
        </w:rPr>
      </w:pPr>
      <w:r>
        <w:rPr>
          <w:sz w:val="32"/>
          <w:szCs w:val="32"/>
        </w:rPr>
        <w:t xml:space="preserve">Challenging the Conventional: Can Truth Commission Strengthen Peace Processes? Available at: </w:t>
      </w:r>
      <w:hyperlink r:id="rId35" w:history="1">
        <w:r w:rsidRPr="00ED5EE9">
          <w:rPr>
            <w:rStyle w:val="Hyperlink"/>
            <w:sz w:val="32"/>
            <w:szCs w:val="32"/>
          </w:rPr>
          <w:t>https://www.ictj.org/sites/default/files/ICTJ_TruthCommPeace_English_2016.pdf</w:t>
        </w:r>
      </w:hyperlink>
    </w:p>
    <w:p w:rsidR="008D7E75" w:rsidRDefault="006076AD" w:rsidP="008D7E75">
      <w:pPr>
        <w:rPr>
          <w:sz w:val="32"/>
          <w:szCs w:val="32"/>
        </w:rPr>
      </w:pPr>
      <w:r>
        <w:rPr>
          <w:sz w:val="32"/>
          <w:szCs w:val="32"/>
        </w:rPr>
        <w:t xml:space="preserve">Tolbert and Wierda, ‘Stocktaking: Peace and Justice, available at </w:t>
      </w:r>
      <w:hyperlink r:id="rId36" w:history="1">
        <w:r w:rsidRPr="003F7E6B">
          <w:rPr>
            <w:rStyle w:val="Hyperlink"/>
            <w:sz w:val="32"/>
            <w:szCs w:val="32"/>
          </w:rPr>
          <w:t>https://www.ictj.org/sites/default/files/ICTJ-RSRC-Global-Peace-Briefing-2010-English.pdf</w:t>
        </w:r>
      </w:hyperlink>
    </w:p>
    <w:p w:rsidR="004B4102" w:rsidRDefault="004B4102" w:rsidP="008D7E75">
      <w:pPr>
        <w:rPr>
          <w:sz w:val="32"/>
          <w:szCs w:val="32"/>
        </w:rPr>
      </w:pPr>
    </w:p>
    <w:p w:rsidR="008D7E75" w:rsidRDefault="006076AD" w:rsidP="008D7E75">
      <w:pPr>
        <w:rPr>
          <w:sz w:val="32"/>
          <w:szCs w:val="32"/>
        </w:rPr>
      </w:pPr>
      <w:r>
        <w:rPr>
          <w:sz w:val="32"/>
          <w:szCs w:val="32"/>
        </w:rPr>
        <w:t>Readings (o</w:t>
      </w:r>
      <w:r w:rsidR="008D7E75">
        <w:rPr>
          <w:sz w:val="32"/>
          <w:szCs w:val="32"/>
        </w:rPr>
        <w:t>ptional</w:t>
      </w:r>
      <w:r>
        <w:rPr>
          <w:sz w:val="32"/>
          <w:szCs w:val="32"/>
        </w:rPr>
        <w:t>)</w:t>
      </w:r>
      <w:r w:rsidR="008D7E75">
        <w:rPr>
          <w:sz w:val="32"/>
          <w:szCs w:val="32"/>
        </w:rPr>
        <w:t>:</w:t>
      </w:r>
    </w:p>
    <w:p w:rsidR="008D7E75" w:rsidRDefault="008D7E75" w:rsidP="008D7E75">
      <w:pPr>
        <w:rPr>
          <w:sz w:val="32"/>
          <w:szCs w:val="32"/>
        </w:rPr>
      </w:pPr>
      <w:r>
        <w:rPr>
          <w:sz w:val="32"/>
          <w:szCs w:val="32"/>
        </w:rPr>
        <w:t>P. Hayner, The Peacemaker’s Paradox, pp. 85 - 216</w:t>
      </w:r>
    </w:p>
    <w:p w:rsidR="00C43E79" w:rsidRDefault="008E345A" w:rsidP="008D7E75">
      <w:pPr>
        <w:rPr>
          <w:sz w:val="32"/>
          <w:szCs w:val="32"/>
        </w:rPr>
      </w:pPr>
      <w:r>
        <w:rPr>
          <w:sz w:val="32"/>
          <w:szCs w:val="32"/>
        </w:rPr>
        <w:t>D. Tolbert</w:t>
      </w:r>
      <w:r w:rsidR="00A64889">
        <w:rPr>
          <w:sz w:val="32"/>
          <w:szCs w:val="32"/>
        </w:rPr>
        <w:t>/Kofi Annan Foundation</w:t>
      </w:r>
      <w:r>
        <w:rPr>
          <w:sz w:val="32"/>
          <w:szCs w:val="32"/>
        </w:rPr>
        <w:t>, Challenging the Conventional: Can Criminal Justice Strengthen Peace Processes? (if available)</w:t>
      </w:r>
    </w:p>
    <w:p w:rsidR="004B4102" w:rsidRDefault="004B4102" w:rsidP="008D7E75">
      <w:pPr>
        <w:rPr>
          <w:sz w:val="32"/>
          <w:szCs w:val="32"/>
        </w:rPr>
      </w:pPr>
    </w:p>
    <w:p w:rsidR="00C43E79" w:rsidRDefault="00C43E79" w:rsidP="008D7E75">
      <w:pPr>
        <w:rPr>
          <w:sz w:val="32"/>
          <w:szCs w:val="32"/>
        </w:rPr>
      </w:pPr>
      <w:r>
        <w:rPr>
          <w:sz w:val="32"/>
          <w:szCs w:val="32"/>
        </w:rPr>
        <w:t>4 May 2019</w:t>
      </w:r>
      <w:r w:rsidR="00FE3513">
        <w:rPr>
          <w:sz w:val="32"/>
          <w:szCs w:val="32"/>
        </w:rPr>
        <w:t>, Class 10</w:t>
      </w:r>
    </w:p>
    <w:p w:rsidR="00A64889" w:rsidRDefault="00FE3513" w:rsidP="008D7E75">
      <w:pPr>
        <w:rPr>
          <w:sz w:val="32"/>
          <w:szCs w:val="32"/>
        </w:rPr>
      </w:pPr>
      <w:r>
        <w:rPr>
          <w:sz w:val="32"/>
          <w:szCs w:val="32"/>
        </w:rPr>
        <w:t>Presentation of Final Projects</w:t>
      </w:r>
    </w:p>
    <w:p w:rsidR="004B4102" w:rsidRDefault="004B4102" w:rsidP="008D7E75">
      <w:pPr>
        <w:rPr>
          <w:sz w:val="32"/>
          <w:szCs w:val="32"/>
        </w:rPr>
      </w:pPr>
    </w:p>
    <w:p w:rsidR="00C43E79" w:rsidRDefault="00C43E79" w:rsidP="008D7E75">
      <w:pPr>
        <w:rPr>
          <w:sz w:val="32"/>
          <w:szCs w:val="32"/>
        </w:rPr>
      </w:pPr>
      <w:r>
        <w:rPr>
          <w:sz w:val="32"/>
          <w:szCs w:val="32"/>
        </w:rPr>
        <w:t>11 May 2019</w:t>
      </w:r>
      <w:r w:rsidR="00FE3513">
        <w:rPr>
          <w:sz w:val="32"/>
          <w:szCs w:val="32"/>
        </w:rPr>
        <w:t>, Class 11</w:t>
      </w:r>
    </w:p>
    <w:p w:rsidR="00FE3513" w:rsidRDefault="00FE3513" w:rsidP="008D7E75">
      <w:pPr>
        <w:rPr>
          <w:sz w:val="32"/>
          <w:szCs w:val="32"/>
        </w:rPr>
      </w:pPr>
      <w:r>
        <w:rPr>
          <w:sz w:val="32"/>
          <w:szCs w:val="32"/>
        </w:rPr>
        <w:t>Presentation of Final Projects</w:t>
      </w:r>
    </w:p>
    <w:p w:rsidR="004B4102" w:rsidRDefault="004B4102" w:rsidP="005260AB">
      <w:pPr>
        <w:rPr>
          <w:sz w:val="32"/>
          <w:szCs w:val="32"/>
        </w:rPr>
      </w:pPr>
    </w:p>
    <w:p w:rsidR="005260AB" w:rsidRDefault="004B4102" w:rsidP="005260AB">
      <w:pPr>
        <w:rPr>
          <w:sz w:val="32"/>
          <w:szCs w:val="32"/>
        </w:rPr>
      </w:pPr>
      <w:r>
        <w:rPr>
          <w:sz w:val="32"/>
          <w:szCs w:val="32"/>
        </w:rPr>
        <w:t>11 May 2019, Class 12</w:t>
      </w:r>
    </w:p>
    <w:p w:rsidR="00FE3513" w:rsidRDefault="005260AB" w:rsidP="005260AB">
      <w:pPr>
        <w:rPr>
          <w:sz w:val="32"/>
          <w:szCs w:val="32"/>
        </w:rPr>
      </w:pPr>
      <w:r>
        <w:rPr>
          <w:sz w:val="32"/>
          <w:szCs w:val="32"/>
        </w:rPr>
        <w:t>Whither Transitional Justice?</w:t>
      </w:r>
    </w:p>
    <w:p w:rsidR="000F55EB" w:rsidRDefault="004B4102" w:rsidP="003544D9">
      <w:pPr>
        <w:jc w:val="both"/>
        <w:rPr>
          <w:sz w:val="32"/>
          <w:szCs w:val="32"/>
        </w:rPr>
      </w:pPr>
      <w:r>
        <w:rPr>
          <w:sz w:val="32"/>
          <w:szCs w:val="32"/>
        </w:rPr>
        <w:tab/>
        <w:t>What role will the ‘field’</w:t>
      </w:r>
      <w:r w:rsidR="000F55EB">
        <w:rPr>
          <w:sz w:val="32"/>
          <w:szCs w:val="32"/>
        </w:rPr>
        <w:t xml:space="preserve"> of transitional justice </w:t>
      </w:r>
      <w:r>
        <w:rPr>
          <w:sz w:val="32"/>
          <w:szCs w:val="32"/>
        </w:rPr>
        <w:t xml:space="preserve">play in the future, particularly with rising reaction and populism?  Has </w:t>
      </w:r>
      <w:r w:rsidR="000F55EB">
        <w:rPr>
          <w:sz w:val="32"/>
          <w:szCs w:val="32"/>
        </w:rPr>
        <w:t xml:space="preserve">TJ </w:t>
      </w:r>
      <w:r>
        <w:rPr>
          <w:sz w:val="32"/>
          <w:szCs w:val="32"/>
        </w:rPr>
        <w:t xml:space="preserve">proven to be effective? </w:t>
      </w:r>
      <w:r w:rsidR="000F55EB">
        <w:rPr>
          <w:sz w:val="32"/>
          <w:szCs w:val="32"/>
        </w:rPr>
        <w:t xml:space="preserve">If so, where and why? </w:t>
      </w:r>
      <w:r>
        <w:rPr>
          <w:sz w:val="32"/>
          <w:szCs w:val="32"/>
        </w:rPr>
        <w:t xml:space="preserve">While the Arab Spring countries initially embraced TJ, ultimately it played a very limited role except in the </w:t>
      </w:r>
      <w:r w:rsidR="00CE692A">
        <w:rPr>
          <w:sz w:val="32"/>
          <w:szCs w:val="32"/>
        </w:rPr>
        <w:t>case of Tun</w:t>
      </w:r>
      <w:r w:rsidR="003544D9">
        <w:rPr>
          <w:sz w:val="32"/>
          <w:szCs w:val="32"/>
        </w:rPr>
        <w:t>isia, which some might argue is related more to</w:t>
      </w:r>
      <w:r w:rsidR="00CE692A">
        <w:rPr>
          <w:sz w:val="32"/>
          <w:szCs w:val="32"/>
        </w:rPr>
        <w:t xml:space="preserve"> cultural </w:t>
      </w:r>
      <w:r w:rsidR="003544D9">
        <w:rPr>
          <w:sz w:val="32"/>
          <w:szCs w:val="32"/>
        </w:rPr>
        <w:t>factors in</w:t>
      </w:r>
      <w:r w:rsidR="00CE692A">
        <w:rPr>
          <w:sz w:val="32"/>
          <w:szCs w:val="32"/>
        </w:rPr>
        <w:t xml:space="preserve"> the country</w:t>
      </w:r>
      <w:r w:rsidR="003544D9">
        <w:rPr>
          <w:sz w:val="32"/>
          <w:szCs w:val="32"/>
        </w:rPr>
        <w:t xml:space="preserve"> than to TJ processes</w:t>
      </w:r>
      <w:r w:rsidR="00CE692A">
        <w:rPr>
          <w:sz w:val="32"/>
          <w:szCs w:val="32"/>
        </w:rPr>
        <w:t xml:space="preserve">.  Colombia has embraced TJ as perhaps no other country, and there does seem to have taken root.  However, political backlash threatens the process/progress.  South Africa was seen a breakthrough at one time but much less so now.  </w:t>
      </w:r>
    </w:p>
    <w:p w:rsidR="000F55EB" w:rsidRDefault="000F55EB" w:rsidP="000F55EB">
      <w:pPr>
        <w:ind w:firstLine="720"/>
        <w:rPr>
          <w:sz w:val="32"/>
          <w:szCs w:val="32"/>
        </w:rPr>
      </w:pPr>
      <w:r>
        <w:rPr>
          <w:sz w:val="32"/>
          <w:szCs w:val="32"/>
        </w:rPr>
        <w:t>Moreover, interestingly, there are increasing call for TJ measures to be used in other settings, such as racial injustice in the United States or in other developed countries.</w:t>
      </w:r>
    </w:p>
    <w:p w:rsidR="00CE692A" w:rsidRDefault="00CE692A" w:rsidP="003544D9">
      <w:pPr>
        <w:ind w:firstLine="720"/>
        <w:jc w:val="both"/>
        <w:rPr>
          <w:sz w:val="32"/>
          <w:szCs w:val="32"/>
        </w:rPr>
      </w:pPr>
      <w:r>
        <w:rPr>
          <w:sz w:val="32"/>
          <w:szCs w:val="32"/>
        </w:rPr>
        <w:t xml:space="preserve">How do we judge ‘progress’, what does TJ look in the future? What are the measure sticks or modes of analysis to judge whether TJ is effective and when and how?  Where does </w:t>
      </w:r>
      <w:r w:rsidR="000F55EB">
        <w:rPr>
          <w:sz w:val="32"/>
          <w:szCs w:val="32"/>
        </w:rPr>
        <w:t>TJ fit into dealing with the past and is it relevant to the future</w:t>
      </w:r>
      <w:r>
        <w:rPr>
          <w:sz w:val="32"/>
          <w:szCs w:val="32"/>
        </w:rPr>
        <w:t>?</w:t>
      </w:r>
      <w:r w:rsidR="000F55EB">
        <w:rPr>
          <w:sz w:val="32"/>
          <w:szCs w:val="32"/>
        </w:rPr>
        <w:t xml:space="preserve"> And if so, how will it be relevant.</w:t>
      </w:r>
    </w:p>
    <w:p w:rsidR="00CE692A" w:rsidRDefault="00CE692A" w:rsidP="005260AB">
      <w:pPr>
        <w:rPr>
          <w:sz w:val="32"/>
          <w:szCs w:val="32"/>
        </w:rPr>
      </w:pPr>
      <w:r>
        <w:rPr>
          <w:sz w:val="32"/>
          <w:szCs w:val="32"/>
        </w:rPr>
        <w:t>Readings (required):</w:t>
      </w:r>
    </w:p>
    <w:p w:rsidR="00CE692A" w:rsidRDefault="00CE692A" w:rsidP="005260AB">
      <w:pPr>
        <w:rPr>
          <w:sz w:val="32"/>
          <w:szCs w:val="32"/>
        </w:rPr>
      </w:pPr>
      <w:r>
        <w:rPr>
          <w:sz w:val="32"/>
          <w:szCs w:val="32"/>
        </w:rPr>
        <w:tab/>
        <w:t>Transitional Justice in the 21</w:t>
      </w:r>
      <w:r w:rsidRPr="00CE692A">
        <w:rPr>
          <w:sz w:val="32"/>
          <w:szCs w:val="32"/>
          <w:vertAlign w:val="superscript"/>
        </w:rPr>
        <w:t>st</w:t>
      </w:r>
      <w:r>
        <w:rPr>
          <w:sz w:val="32"/>
          <w:szCs w:val="32"/>
        </w:rPr>
        <w:t xml:space="preserve"> Century, pp.  29 – 45</w:t>
      </w:r>
    </w:p>
    <w:p w:rsidR="008E7561" w:rsidRDefault="008E7561" w:rsidP="008E7561">
      <w:pPr>
        <w:autoSpaceDE w:val="0"/>
        <w:autoSpaceDN w:val="0"/>
        <w:adjustRightInd w:val="0"/>
        <w:spacing w:after="0" w:line="240" w:lineRule="auto"/>
        <w:jc w:val="both"/>
        <w:rPr>
          <w:sz w:val="32"/>
          <w:szCs w:val="32"/>
        </w:rPr>
      </w:pPr>
      <w:r>
        <w:rPr>
          <w:sz w:val="32"/>
          <w:szCs w:val="32"/>
        </w:rPr>
        <w:tab/>
        <w:t>Paige Arthur, ‘</w:t>
      </w:r>
      <w:r w:rsidRPr="008E7561">
        <w:rPr>
          <w:rFonts w:cs="ArnoPro"/>
          <w:sz w:val="32"/>
          <w:szCs w:val="32"/>
        </w:rPr>
        <w:t>Notes from the Field: Global Indicators for</w:t>
      </w:r>
      <w:r>
        <w:rPr>
          <w:rFonts w:cs="ArnoPro"/>
          <w:sz w:val="32"/>
          <w:szCs w:val="32"/>
        </w:rPr>
        <w:t xml:space="preserve"> </w:t>
      </w:r>
      <w:r w:rsidRPr="008E7561">
        <w:rPr>
          <w:rFonts w:cs="ArnoPro"/>
          <w:sz w:val="32"/>
          <w:szCs w:val="32"/>
        </w:rPr>
        <w:t>Transitional Justice and Challenges in</w:t>
      </w:r>
      <w:r>
        <w:rPr>
          <w:rFonts w:cs="ArnoPro"/>
          <w:sz w:val="32"/>
          <w:szCs w:val="32"/>
        </w:rPr>
        <w:t xml:space="preserve"> </w:t>
      </w:r>
      <w:r w:rsidRPr="008E7561">
        <w:rPr>
          <w:rFonts w:cs="ArnoPro"/>
          <w:sz w:val="32"/>
          <w:szCs w:val="32"/>
        </w:rPr>
        <w:t>Measurement for Policy Actors</w:t>
      </w:r>
      <w:r>
        <w:rPr>
          <w:rFonts w:cs="ArnoPro"/>
          <w:sz w:val="32"/>
          <w:szCs w:val="32"/>
        </w:rPr>
        <w:t xml:space="preserve">’, </w:t>
      </w:r>
      <w:hyperlink r:id="rId37" w:history="1">
        <w:r w:rsidRPr="00B45D7E">
          <w:rPr>
            <w:rStyle w:val="Hyperlink"/>
            <w:sz w:val="32"/>
            <w:szCs w:val="32"/>
          </w:rPr>
          <w:t>https://ir.lib.uwo.ca/cgi/viewcontent.cgi?article=1080&amp;context=tjreview</w:t>
        </w:r>
      </w:hyperlink>
    </w:p>
    <w:p w:rsidR="000F55EB" w:rsidRDefault="000F55EB" w:rsidP="008E7561">
      <w:pPr>
        <w:rPr>
          <w:rStyle w:val="Hyperlink"/>
          <w:sz w:val="32"/>
          <w:szCs w:val="32"/>
        </w:rPr>
      </w:pPr>
      <w:r>
        <w:rPr>
          <w:sz w:val="32"/>
          <w:szCs w:val="32"/>
        </w:rPr>
        <w:t xml:space="preserve"> </w:t>
      </w:r>
      <w:r w:rsidR="00CE692A">
        <w:rPr>
          <w:sz w:val="32"/>
          <w:szCs w:val="32"/>
        </w:rPr>
        <w:tab/>
      </w:r>
      <w:r>
        <w:rPr>
          <w:sz w:val="32"/>
          <w:szCs w:val="32"/>
        </w:rPr>
        <w:t xml:space="preserve">Ta-Nehisi Coates, ‘The Case for Reparations’, The Atlantic (June, 2014) available at:  </w:t>
      </w:r>
      <w:hyperlink r:id="rId38" w:history="1">
        <w:r w:rsidRPr="00E85440">
          <w:rPr>
            <w:rStyle w:val="Hyperlink"/>
            <w:sz w:val="32"/>
            <w:szCs w:val="32"/>
          </w:rPr>
          <w:t>https://www.theatlantic.com/magazine/archive/2014/06/the-case-for-reparations/361631/</w:t>
        </w:r>
      </w:hyperlink>
    </w:p>
    <w:p w:rsidR="00236D01" w:rsidRPr="00236D01" w:rsidRDefault="00236D01" w:rsidP="00236D01">
      <w:pPr>
        <w:ind w:firstLine="720"/>
        <w:rPr>
          <w:sz w:val="32"/>
          <w:szCs w:val="32"/>
        </w:rPr>
      </w:pPr>
      <w:r w:rsidRPr="00236D01">
        <w:rPr>
          <w:sz w:val="32"/>
          <w:szCs w:val="32"/>
        </w:rPr>
        <w:t>Pablo De Greiff, ‘</w:t>
      </w:r>
      <w:r w:rsidRPr="00236D01">
        <w:rPr>
          <w:rFonts w:cs="Arial"/>
          <w:sz w:val="32"/>
          <w:szCs w:val="32"/>
        </w:rPr>
        <w:t>The Future of the Past: Reflections on the Current State and Prospects of Transitional Justice</w:t>
      </w:r>
      <w:r>
        <w:rPr>
          <w:rFonts w:cs="Arial"/>
          <w:sz w:val="32"/>
          <w:szCs w:val="32"/>
        </w:rPr>
        <w:t>’</w:t>
      </w:r>
      <w:r w:rsidRPr="00236D01">
        <w:rPr>
          <w:rFonts w:cs="Arial"/>
          <w:sz w:val="32"/>
          <w:szCs w:val="32"/>
        </w:rPr>
        <w:t xml:space="preserve">, </w:t>
      </w:r>
      <w:hyperlink r:id="rId39" w:history="1">
        <w:r w:rsidRPr="00236D01">
          <w:rPr>
            <w:rStyle w:val="Hyperlink"/>
            <w:sz w:val="32"/>
            <w:szCs w:val="32"/>
          </w:rPr>
          <w:t>https://www.youtube.com/watch?v=JOccBWg_pIc</w:t>
        </w:r>
      </w:hyperlink>
    </w:p>
    <w:p w:rsidR="000F55EB" w:rsidRPr="00236D01" w:rsidRDefault="008A3137" w:rsidP="008A3137">
      <w:pPr>
        <w:ind w:firstLine="720"/>
        <w:rPr>
          <w:sz w:val="32"/>
          <w:szCs w:val="32"/>
        </w:rPr>
      </w:pPr>
      <w:r w:rsidRPr="00236D01">
        <w:rPr>
          <w:sz w:val="32"/>
          <w:szCs w:val="32"/>
        </w:rPr>
        <w:t xml:space="preserve"> </w:t>
      </w:r>
    </w:p>
    <w:p w:rsidR="000F55EB" w:rsidRPr="00236D01" w:rsidRDefault="000F55EB" w:rsidP="005260AB">
      <w:pPr>
        <w:rPr>
          <w:sz w:val="32"/>
          <w:szCs w:val="32"/>
        </w:rPr>
      </w:pPr>
      <w:r w:rsidRPr="00236D01">
        <w:rPr>
          <w:sz w:val="32"/>
          <w:szCs w:val="32"/>
        </w:rPr>
        <w:tab/>
      </w:r>
    </w:p>
    <w:p w:rsidR="00CE692A" w:rsidRPr="00236D01" w:rsidRDefault="00CE692A" w:rsidP="005260AB">
      <w:pPr>
        <w:rPr>
          <w:sz w:val="28"/>
          <w:szCs w:val="28"/>
        </w:rPr>
      </w:pPr>
      <w:r w:rsidRPr="00236D01">
        <w:rPr>
          <w:sz w:val="28"/>
          <w:szCs w:val="28"/>
        </w:rPr>
        <w:tab/>
      </w:r>
    </w:p>
    <w:p w:rsidR="004B4102" w:rsidRPr="00236D01" w:rsidRDefault="004B4102" w:rsidP="005260AB">
      <w:pPr>
        <w:rPr>
          <w:sz w:val="28"/>
          <w:szCs w:val="28"/>
        </w:rPr>
      </w:pPr>
    </w:p>
    <w:p w:rsidR="00FE3513" w:rsidRPr="00236D01" w:rsidRDefault="00FE3513" w:rsidP="005260AB">
      <w:pPr>
        <w:rPr>
          <w:sz w:val="28"/>
          <w:szCs w:val="28"/>
        </w:rPr>
      </w:pPr>
    </w:p>
    <w:p w:rsidR="005260AB" w:rsidRDefault="005260AB" w:rsidP="005260AB">
      <w:pPr>
        <w:rPr>
          <w:sz w:val="32"/>
          <w:szCs w:val="32"/>
        </w:rPr>
      </w:pPr>
      <w:r>
        <w:rPr>
          <w:sz w:val="32"/>
          <w:szCs w:val="32"/>
        </w:rPr>
        <w:t xml:space="preserve"> </w:t>
      </w:r>
    </w:p>
    <w:p w:rsidR="005260AB" w:rsidRDefault="005260AB" w:rsidP="008D7E75">
      <w:pPr>
        <w:rPr>
          <w:sz w:val="32"/>
          <w:szCs w:val="32"/>
        </w:rPr>
      </w:pPr>
    </w:p>
    <w:p w:rsidR="008D7E75" w:rsidRDefault="008D7E75" w:rsidP="008D7E75">
      <w:pPr>
        <w:rPr>
          <w:sz w:val="32"/>
          <w:szCs w:val="32"/>
        </w:rPr>
      </w:pPr>
    </w:p>
    <w:p w:rsidR="00C43E79" w:rsidRPr="00C43E79" w:rsidRDefault="00C43E79" w:rsidP="00C43E79">
      <w:pPr>
        <w:jc w:val="both"/>
        <w:rPr>
          <w:sz w:val="32"/>
          <w:szCs w:val="32"/>
        </w:rPr>
      </w:pPr>
      <w:r>
        <w:rPr>
          <w:sz w:val="32"/>
          <w:szCs w:val="32"/>
        </w:rPr>
        <w:t xml:space="preserve"> </w:t>
      </w:r>
    </w:p>
    <w:sectPr w:rsidR="00C43E79" w:rsidRPr="00C43E7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80" w:rsidRDefault="00644F80">
      <w:pPr>
        <w:spacing w:after="0" w:line="240" w:lineRule="auto"/>
      </w:pPr>
      <w:r>
        <w:separator/>
      </w:r>
    </w:p>
  </w:endnote>
  <w:endnote w:type="continuationSeparator" w:id="0">
    <w:p w:rsidR="00644F80" w:rsidRDefault="0064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ir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ira ExtraLight Italic">
    <w:altName w:val="Saira ExtraLight Italic"/>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TimesNewRomanPS-ItalicMT+T42+WV">
    <w:panose1 w:val="00000000000000000000"/>
    <w:charset w:val="00"/>
    <w:family w:val="auto"/>
    <w:notTrueType/>
    <w:pitch w:val="default"/>
    <w:sig w:usb0="00000003" w:usb1="00000000" w:usb2="00000000" w:usb3="00000000" w:csb0="00000001" w:csb1="00000000"/>
  </w:font>
  <w:font w:name="TimesNewRomanPSMT+T42+SCCFY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iloOT-Medi">
    <w:panose1 w:val="00000000000000000000"/>
    <w:charset w:val="00"/>
    <w:family w:val="swiss"/>
    <w:notTrueType/>
    <w:pitch w:val="default"/>
    <w:sig w:usb0="00000003" w:usb1="00000000" w:usb2="00000000" w:usb3="00000000" w:csb0="00000001" w:csb1="00000000"/>
  </w:font>
  <w:font w:name="Arno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98734"/>
      <w:docPartObj>
        <w:docPartGallery w:val="Page Numbers (Bottom of Page)"/>
        <w:docPartUnique/>
      </w:docPartObj>
    </w:sdtPr>
    <w:sdtEndPr>
      <w:rPr>
        <w:noProof/>
      </w:rPr>
    </w:sdtEndPr>
    <w:sdtContent>
      <w:p w:rsidR="000A4374" w:rsidRDefault="000A4374">
        <w:pPr>
          <w:pStyle w:val="Footer"/>
          <w:jc w:val="center"/>
        </w:pPr>
        <w:r>
          <w:fldChar w:fldCharType="begin"/>
        </w:r>
        <w:r>
          <w:instrText xml:space="preserve"> PAGE   \* MERGEFORMAT </w:instrText>
        </w:r>
        <w:r>
          <w:fldChar w:fldCharType="separate"/>
        </w:r>
        <w:r w:rsidR="00E1159E">
          <w:rPr>
            <w:noProof/>
          </w:rPr>
          <w:t>2</w:t>
        </w:r>
        <w:r>
          <w:rPr>
            <w:noProof/>
          </w:rPr>
          <w:fldChar w:fldCharType="end"/>
        </w:r>
      </w:p>
    </w:sdtContent>
  </w:sdt>
  <w:p w:rsidR="000A4374" w:rsidRDefault="000A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80" w:rsidRDefault="00644F80">
      <w:pPr>
        <w:spacing w:after="0" w:line="240" w:lineRule="auto"/>
      </w:pPr>
      <w:r>
        <w:separator/>
      </w:r>
    </w:p>
  </w:footnote>
  <w:footnote w:type="continuationSeparator" w:id="0">
    <w:p w:rsidR="00644F80" w:rsidRDefault="00644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C79"/>
    <w:multiLevelType w:val="hybridMultilevel"/>
    <w:tmpl w:val="4AA86348"/>
    <w:lvl w:ilvl="0" w:tplc="2F065E18">
      <w:start w:val="16"/>
      <w:numFmt w:val="bullet"/>
      <w:lvlText w:val="-"/>
      <w:lvlJc w:val="left"/>
      <w:pPr>
        <w:ind w:left="1800" w:hanging="360"/>
      </w:pPr>
      <w:rPr>
        <w:rFonts w:ascii="Calibri" w:eastAsiaTheme="minorHAnsi" w:hAnsi="Calibri" w:cstheme="minorBidi"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E46B67"/>
    <w:multiLevelType w:val="multilevel"/>
    <w:tmpl w:val="588C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61AC8"/>
    <w:multiLevelType w:val="hybridMultilevel"/>
    <w:tmpl w:val="3524FC14"/>
    <w:lvl w:ilvl="0" w:tplc="FE90A584">
      <w:start w:val="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B1FB6"/>
    <w:multiLevelType w:val="hybridMultilevel"/>
    <w:tmpl w:val="9ED28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75"/>
    <w:rsid w:val="000140FD"/>
    <w:rsid w:val="00020AF0"/>
    <w:rsid w:val="000A4374"/>
    <w:rsid w:val="000F55EB"/>
    <w:rsid w:val="00236D01"/>
    <w:rsid w:val="002D1830"/>
    <w:rsid w:val="002F0906"/>
    <w:rsid w:val="002F69C6"/>
    <w:rsid w:val="00314F7C"/>
    <w:rsid w:val="003544D9"/>
    <w:rsid w:val="00363BB0"/>
    <w:rsid w:val="00376C0C"/>
    <w:rsid w:val="00387CB1"/>
    <w:rsid w:val="003B5ED2"/>
    <w:rsid w:val="003C0DAE"/>
    <w:rsid w:val="00402B90"/>
    <w:rsid w:val="004306C9"/>
    <w:rsid w:val="0047616E"/>
    <w:rsid w:val="004B4102"/>
    <w:rsid w:val="005260AB"/>
    <w:rsid w:val="00580F4C"/>
    <w:rsid w:val="006076AD"/>
    <w:rsid w:val="0062030B"/>
    <w:rsid w:val="00644F80"/>
    <w:rsid w:val="006562EE"/>
    <w:rsid w:val="006F552A"/>
    <w:rsid w:val="007420C8"/>
    <w:rsid w:val="00766221"/>
    <w:rsid w:val="00833FFC"/>
    <w:rsid w:val="0088085E"/>
    <w:rsid w:val="00891E84"/>
    <w:rsid w:val="008A3137"/>
    <w:rsid w:val="008D2A62"/>
    <w:rsid w:val="008D48FA"/>
    <w:rsid w:val="008D5B27"/>
    <w:rsid w:val="008D7E75"/>
    <w:rsid w:val="008E345A"/>
    <w:rsid w:val="008E7561"/>
    <w:rsid w:val="009A4811"/>
    <w:rsid w:val="009A6E5F"/>
    <w:rsid w:val="009F68BA"/>
    <w:rsid w:val="00A64889"/>
    <w:rsid w:val="00AE3934"/>
    <w:rsid w:val="00AF7BEF"/>
    <w:rsid w:val="00B73B83"/>
    <w:rsid w:val="00BA26A7"/>
    <w:rsid w:val="00BE6BF5"/>
    <w:rsid w:val="00C16929"/>
    <w:rsid w:val="00C43E79"/>
    <w:rsid w:val="00CC1CA8"/>
    <w:rsid w:val="00CE692A"/>
    <w:rsid w:val="00CF0071"/>
    <w:rsid w:val="00D21B68"/>
    <w:rsid w:val="00D359AD"/>
    <w:rsid w:val="00D509A1"/>
    <w:rsid w:val="00D924CD"/>
    <w:rsid w:val="00E1159E"/>
    <w:rsid w:val="00E231A7"/>
    <w:rsid w:val="00E26BA6"/>
    <w:rsid w:val="00E81D30"/>
    <w:rsid w:val="00EC5D53"/>
    <w:rsid w:val="00EE5FA9"/>
    <w:rsid w:val="00EF4A1D"/>
    <w:rsid w:val="00F12FD2"/>
    <w:rsid w:val="00F23793"/>
    <w:rsid w:val="00F251CD"/>
    <w:rsid w:val="00F67588"/>
    <w:rsid w:val="00F974E7"/>
    <w:rsid w:val="00FD1A0F"/>
    <w:rsid w:val="00F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1A58-3E35-4A98-9012-E217CB1E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75"/>
  </w:style>
  <w:style w:type="paragraph" w:styleId="Heading1">
    <w:name w:val="heading 1"/>
    <w:basedOn w:val="Normal"/>
    <w:link w:val="Heading1Char"/>
    <w:uiPriority w:val="9"/>
    <w:qFormat/>
    <w:rsid w:val="00236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75"/>
  </w:style>
  <w:style w:type="character" w:styleId="CommentReference">
    <w:name w:val="annotation reference"/>
    <w:basedOn w:val="DefaultParagraphFont"/>
    <w:uiPriority w:val="99"/>
    <w:semiHidden/>
    <w:unhideWhenUsed/>
    <w:rsid w:val="008D7E75"/>
    <w:rPr>
      <w:sz w:val="16"/>
      <w:szCs w:val="16"/>
    </w:rPr>
  </w:style>
  <w:style w:type="paragraph" w:styleId="CommentText">
    <w:name w:val="annotation text"/>
    <w:basedOn w:val="Normal"/>
    <w:link w:val="CommentTextChar"/>
    <w:uiPriority w:val="99"/>
    <w:semiHidden/>
    <w:unhideWhenUsed/>
    <w:rsid w:val="008D7E75"/>
    <w:pPr>
      <w:spacing w:line="240" w:lineRule="auto"/>
    </w:pPr>
    <w:rPr>
      <w:sz w:val="20"/>
      <w:szCs w:val="20"/>
    </w:rPr>
  </w:style>
  <w:style w:type="character" w:customStyle="1" w:styleId="CommentTextChar">
    <w:name w:val="Comment Text Char"/>
    <w:basedOn w:val="DefaultParagraphFont"/>
    <w:link w:val="CommentText"/>
    <w:uiPriority w:val="99"/>
    <w:semiHidden/>
    <w:rsid w:val="008D7E75"/>
    <w:rPr>
      <w:sz w:val="20"/>
      <w:szCs w:val="20"/>
    </w:rPr>
  </w:style>
  <w:style w:type="paragraph" w:styleId="ListParagraph">
    <w:name w:val="List Paragraph"/>
    <w:basedOn w:val="Normal"/>
    <w:uiPriority w:val="34"/>
    <w:qFormat/>
    <w:rsid w:val="008D7E75"/>
    <w:pPr>
      <w:ind w:left="720"/>
      <w:contextualSpacing/>
    </w:pPr>
  </w:style>
  <w:style w:type="character" w:styleId="Hyperlink">
    <w:name w:val="Hyperlink"/>
    <w:basedOn w:val="DefaultParagraphFont"/>
    <w:uiPriority w:val="99"/>
    <w:unhideWhenUsed/>
    <w:rsid w:val="008D7E75"/>
    <w:rPr>
      <w:color w:val="0563C1" w:themeColor="hyperlink"/>
      <w:u w:val="single"/>
    </w:rPr>
  </w:style>
  <w:style w:type="paragraph" w:customStyle="1" w:styleId="Default">
    <w:name w:val="Default"/>
    <w:rsid w:val="008D7E75"/>
    <w:pPr>
      <w:autoSpaceDE w:val="0"/>
      <w:autoSpaceDN w:val="0"/>
      <w:adjustRightInd w:val="0"/>
      <w:spacing w:after="0" w:line="240" w:lineRule="auto"/>
    </w:pPr>
    <w:rPr>
      <w:rFonts w:ascii="Saira" w:hAnsi="Saira" w:cs="Saira"/>
      <w:color w:val="000000"/>
      <w:sz w:val="24"/>
      <w:szCs w:val="24"/>
    </w:rPr>
  </w:style>
  <w:style w:type="paragraph" w:customStyle="1" w:styleId="Pa1">
    <w:name w:val="Pa1"/>
    <w:basedOn w:val="Default"/>
    <w:next w:val="Default"/>
    <w:uiPriority w:val="99"/>
    <w:rsid w:val="008D7E75"/>
    <w:pPr>
      <w:spacing w:line="201" w:lineRule="atLeast"/>
    </w:pPr>
    <w:rPr>
      <w:rFonts w:cstheme="minorBidi"/>
      <w:color w:val="auto"/>
    </w:rPr>
  </w:style>
  <w:style w:type="character" w:customStyle="1" w:styleId="A1">
    <w:name w:val="A1"/>
    <w:uiPriority w:val="99"/>
    <w:rsid w:val="008D7E75"/>
    <w:rPr>
      <w:rFonts w:cs="Saira"/>
      <w:color w:val="000000"/>
      <w:sz w:val="38"/>
      <w:szCs w:val="38"/>
    </w:rPr>
  </w:style>
  <w:style w:type="paragraph" w:styleId="NormalWeb">
    <w:name w:val="Normal (Web)"/>
    <w:basedOn w:val="Normal"/>
    <w:uiPriority w:val="99"/>
    <w:unhideWhenUsed/>
    <w:rsid w:val="008D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uthor-name-more">
    <w:name w:val="al-author-name-more"/>
    <w:basedOn w:val="DefaultParagraphFont"/>
    <w:rsid w:val="008D7E75"/>
  </w:style>
  <w:style w:type="character" w:styleId="Emphasis">
    <w:name w:val="Emphasis"/>
    <w:basedOn w:val="DefaultParagraphFont"/>
    <w:uiPriority w:val="20"/>
    <w:qFormat/>
    <w:rsid w:val="008D7E75"/>
    <w:rPr>
      <w:i/>
      <w:iCs/>
    </w:rPr>
  </w:style>
  <w:style w:type="paragraph" w:styleId="BalloonText">
    <w:name w:val="Balloon Text"/>
    <w:basedOn w:val="Normal"/>
    <w:link w:val="BalloonTextChar"/>
    <w:uiPriority w:val="99"/>
    <w:semiHidden/>
    <w:unhideWhenUsed/>
    <w:rsid w:val="008D7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345A"/>
    <w:rPr>
      <w:b/>
      <w:bCs/>
    </w:rPr>
  </w:style>
  <w:style w:type="character" w:customStyle="1" w:styleId="CommentSubjectChar">
    <w:name w:val="Comment Subject Char"/>
    <w:basedOn w:val="CommentTextChar"/>
    <w:link w:val="CommentSubject"/>
    <w:uiPriority w:val="99"/>
    <w:semiHidden/>
    <w:rsid w:val="008E345A"/>
    <w:rPr>
      <w:b/>
      <w:bCs/>
      <w:sz w:val="20"/>
      <w:szCs w:val="20"/>
    </w:rPr>
  </w:style>
  <w:style w:type="character" w:customStyle="1" w:styleId="A2">
    <w:name w:val="A2"/>
    <w:uiPriority w:val="99"/>
    <w:rsid w:val="00C16929"/>
    <w:rPr>
      <w:rFonts w:cs="Saira"/>
      <w:b/>
      <w:bCs/>
      <w:color w:val="FCAF16"/>
      <w:sz w:val="40"/>
      <w:szCs w:val="40"/>
    </w:rPr>
  </w:style>
  <w:style w:type="character" w:customStyle="1" w:styleId="A3">
    <w:name w:val="A3"/>
    <w:uiPriority w:val="99"/>
    <w:rsid w:val="00C16929"/>
    <w:rPr>
      <w:rFonts w:ascii="Saira ExtraLight Italic" w:hAnsi="Saira ExtraLight Italic" w:cs="Saira ExtraLight Italic"/>
      <w:i/>
      <w:iCs/>
      <w:color w:val="013E89"/>
      <w:sz w:val="30"/>
      <w:szCs w:val="30"/>
    </w:rPr>
  </w:style>
  <w:style w:type="character" w:customStyle="1" w:styleId="Heading1Char">
    <w:name w:val="Heading 1 Char"/>
    <w:basedOn w:val="DefaultParagraphFont"/>
    <w:link w:val="Heading1"/>
    <w:uiPriority w:val="9"/>
    <w:rsid w:val="00236D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leoflaw/files/2004%20report.pdf" TargetMode="External"/><Relationship Id="rId13" Type="http://schemas.openxmlformats.org/officeDocument/2006/relationships/hyperlink" Target="https://www.ifit-transitions.org/resources/publications/major-publications-briefings/changing-the-narrative-the-role-of-communications-in-transitional-justice" TargetMode="External"/><Relationship Id="rId18" Type="http://schemas.openxmlformats.org/officeDocument/2006/relationships/hyperlink" Target="https://www.icc-cpi.int/iccdocs/PIDS/publications/UICCEng.pdf" TargetMode="External"/><Relationship Id="rId26" Type="http://schemas.openxmlformats.org/officeDocument/2006/relationships/hyperlink" Target="https://www.ictj.org/sites/default/files/ICTJ-Global-Reparations-Practice-2007-English.pdf" TargetMode="External"/><Relationship Id="rId39" Type="http://schemas.openxmlformats.org/officeDocument/2006/relationships/hyperlink" Target="https://www.youtube.com/watch?v=JOccBWg_pIc" TargetMode="External"/><Relationship Id="rId3" Type="http://schemas.openxmlformats.org/officeDocument/2006/relationships/styles" Target="styles.xml"/><Relationship Id="rId21" Type="http://schemas.openxmlformats.org/officeDocument/2006/relationships/hyperlink" Target="https://www.ictj.org/our-work/transitional-justice-issues/criminal-justice" TargetMode="External"/><Relationship Id="rId34" Type="http://schemas.openxmlformats.org/officeDocument/2006/relationships/hyperlink" Target="https://www.ictj.org/sites/default/files/ICTJ_Briefing_Kenya_Cycle%20of%20Corruption%20Brief-Web.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ruleoflaw/files/Tool_National_Consultations_final_web.pdf" TargetMode="External"/><Relationship Id="rId17" Type="http://schemas.openxmlformats.org/officeDocument/2006/relationships/hyperlink" Target="https://www.ictj.org/publication/sexual-violence-men-boys" TargetMode="External"/><Relationship Id="rId25" Type="http://schemas.openxmlformats.org/officeDocument/2006/relationships/hyperlink" Target="https://www.ictj.org/sites/default/files/ICTJ-Global-Reparations-Practice-2007-English.pdf" TargetMode="External"/><Relationship Id="rId33" Type="http://schemas.openxmlformats.org/officeDocument/2006/relationships/hyperlink" Target="https://www.ictj.org/sites/default/files/IJTJ-Global-Justice-Corruption-2008-English.pdf" TargetMode="External"/><Relationship Id="rId38" Type="http://schemas.openxmlformats.org/officeDocument/2006/relationships/hyperlink" Target="https://www.theatlantic.com/magazine/archive/2014/06/the-case-for-reparations/361631/"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ictj.org/sites/default/files/ICTJ_Handbook_ICC_Complementarity_2016.pdf" TargetMode="External"/><Relationship Id="rId29" Type="http://schemas.openxmlformats.org/officeDocument/2006/relationships/hyperlink" Target="https://www.dcaf.ch/sites/default/files/publications/documents/International%20study%20%28ENG%29%20-%20Mapping%20of%20TRC%20recommendations%20-%20publication%20vers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ijtj/article/3/1/5/2356979" TargetMode="External"/><Relationship Id="rId24" Type="http://schemas.openxmlformats.org/officeDocument/2006/relationships/hyperlink" Target="https://www.ictj.org/sites/default/files/ICTJ-Report-DraftingMandate-Truth-Commission-2013_0.pdf" TargetMode="External"/><Relationship Id="rId32" Type="http://schemas.openxmlformats.org/officeDocument/2006/relationships/hyperlink" Target="https://www.justiceinitiative.org/uploads/9a7c2390-4d10-4f0b-9f0c-f62d578c7d9b/pillage-manual-2nd-edition-2011.pdf" TargetMode="External"/><Relationship Id="rId37" Type="http://schemas.openxmlformats.org/officeDocument/2006/relationships/hyperlink" Target="https://ir.lib.uwo.ca/cgi/viewcontent.cgi?article=1080&amp;context=tjrevie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tj.org/publication/disappeared-and-invisible-women-disappearances" TargetMode="External"/><Relationship Id="rId23" Type="http://schemas.openxmlformats.org/officeDocument/2006/relationships/hyperlink" Target="https://www.mcgill.ca/isid/files/isid/priscilla_b._hayner_unspeakable_truths_transitibookzz.org_.pdf" TargetMode="External"/><Relationship Id="rId28" Type="http://schemas.openxmlformats.org/officeDocument/2006/relationships/hyperlink" Target="https://www.ictj.org/sites/default/files/ICTJ-Global-Memorialization-Democracy-2007-English_0.pdf" TargetMode="External"/><Relationship Id="rId36" Type="http://schemas.openxmlformats.org/officeDocument/2006/relationships/hyperlink" Target="https://www.ictj.org/sites/default/files/ICTJ-RSRC-Global-Peace-Briefing-2010-English.pdf" TargetMode="External"/><Relationship Id="rId10" Type="http://schemas.openxmlformats.org/officeDocument/2006/relationships/hyperlink" Target="https://www.ictj.org/about/transitional-justice" TargetMode="External"/><Relationship Id="rId19" Type="http://schemas.openxmlformats.org/officeDocument/2006/relationships/hyperlink" Target="https://www.brookings.edu/wp-content/uploads/2019/06/FP_20190708_colombia.pdf" TargetMode="External"/><Relationship Id="rId31" Type="http://schemas.openxmlformats.org/officeDocument/2006/relationships/hyperlink" Target="https://www.legal-tools.org/doc/53cb7e/pdf" TargetMode="External"/><Relationship Id="rId4" Type="http://schemas.openxmlformats.org/officeDocument/2006/relationships/settings" Target="settings.xml"/><Relationship Id="rId9" Type="http://schemas.openxmlformats.org/officeDocument/2006/relationships/hyperlink" Target="https://www.un.org/ruleoflaw/files/TJ_Guidance_Note_March_2010FINAL.pdf" TargetMode="External"/><Relationship Id="rId14" Type="http://schemas.openxmlformats.org/officeDocument/2006/relationships/hyperlink" Target="https://www.ictj.org/sites/default/files/ICTJ-Global-Making-Impact-2011-English.pdf" TargetMode="External"/><Relationship Id="rId22" Type="http://schemas.openxmlformats.org/officeDocument/2006/relationships/hyperlink" Target="https://www.ifit-transitions.org/resources/publications/major-publications-briefings/rethinking-peace-and-justice" TargetMode="External"/><Relationship Id="rId27" Type="http://schemas.openxmlformats.org/officeDocument/2006/relationships/hyperlink" Target="https://www.ictj.org/sites/default/files/ICTJ-Global-Right-Reparation-2009-English.pdf" TargetMode="External"/><Relationship Id="rId30" Type="http://schemas.openxmlformats.org/officeDocument/2006/relationships/hyperlink" Target="https://poseidon01.ssrn.com/delivery.php?ID=681105073027020001018087100123098029122047004088035085027090096031068127102118121077126045101012021097047093071102120127120100114008094039021095077020001100124088031060078024020124007101113000075123106074031086115079066095102029065096089095109080099115&amp;EXT=pdf" TargetMode="External"/><Relationship Id="rId35" Type="http://schemas.openxmlformats.org/officeDocument/2006/relationships/hyperlink" Target="https://www.ictj.org/sites/default/files/ICTJ_TruthCommPeace_English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14C965F-D355-45F1-97F4-1791AD9B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CEU</cp:lastModifiedBy>
  <cp:revision>3</cp:revision>
  <cp:lastPrinted>2019-12-21T23:51:00Z</cp:lastPrinted>
  <dcterms:created xsi:type="dcterms:W3CDTF">2019-12-13T14:38:00Z</dcterms:created>
  <dcterms:modified xsi:type="dcterms:W3CDTF">2019-12-13T14:55:00Z</dcterms:modified>
</cp:coreProperties>
</file>