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3F" w:rsidRPr="00116B3F" w:rsidRDefault="00116B3F" w:rsidP="00116B3F">
      <w:pPr>
        <w:spacing w:after="0" w:line="240" w:lineRule="auto"/>
        <w:rPr>
          <w:b/>
          <w:sz w:val="44"/>
          <w:szCs w:val="44"/>
        </w:rPr>
      </w:pPr>
      <w:r w:rsidRPr="00116B3F">
        <w:rPr>
          <w:b/>
          <w:sz w:val="44"/>
          <w:szCs w:val="44"/>
        </w:rPr>
        <w:t>Jews and the City</w:t>
      </w:r>
    </w:p>
    <w:p w:rsidR="00116B3F" w:rsidRDefault="009B3C2C" w:rsidP="00116B3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Winter</w:t>
      </w:r>
      <w:r w:rsidR="00EC2DB6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</w:p>
    <w:p w:rsidR="009166E1" w:rsidRDefault="009166E1" w:rsidP="00116B3F">
      <w:pPr>
        <w:spacing w:after="0" w:line="240" w:lineRule="auto"/>
        <w:rPr>
          <w:b/>
          <w:sz w:val="28"/>
          <w:szCs w:val="28"/>
        </w:rPr>
      </w:pPr>
    </w:p>
    <w:p w:rsidR="009166E1" w:rsidRDefault="009166E1" w:rsidP="00116B3F">
      <w:pPr>
        <w:spacing w:after="0" w:line="240" w:lineRule="auto"/>
        <w:rPr>
          <w:b/>
          <w:sz w:val="24"/>
          <w:szCs w:val="24"/>
        </w:rPr>
      </w:pPr>
      <w:r w:rsidRPr="009166E1">
        <w:rPr>
          <w:b/>
          <w:sz w:val="24"/>
          <w:szCs w:val="24"/>
        </w:rPr>
        <w:t>Mondays, 1</w:t>
      </w:r>
      <w:r w:rsidR="00135F7B">
        <w:rPr>
          <w:b/>
          <w:sz w:val="24"/>
          <w:szCs w:val="24"/>
        </w:rPr>
        <w:t>3:30</w:t>
      </w:r>
      <w:r w:rsidRPr="009166E1">
        <w:rPr>
          <w:b/>
          <w:sz w:val="24"/>
          <w:szCs w:val="24"/>
        </w:rPr>
        <w:t xml:space="preserve"> -1</w:t>
      </w:r>
      <w:r w:rsidR="00135F7B">
        <w:rPr>
          <w:b/>
          <w:sz w:val="24"/>
          <w:szCs w:val="24"/>
        </w:rPr>
        <w:t>5:10</w:t>
      </w:r>
      <w:r w:rsidRPr="009166E1">
        <w:rPr>
          <w:b/>
          <w:sz w:val="24"/>
          <w:szCs w:val="24"/>
        </w:rPr>
        <w:t>, 1</w:t>
      </w:r>
      <w:r w:rsidR="00135F7B">
        <w:rPr>
          <w:b/>
          <w:sz w:val="24"/>
          <w:szCs w:val="24"/>
        </w:rPr>
        <w:t>5</w:t>
      </w:r>
      <w:r w:rsidRPr="009166E1">
        <w:rPr>
          <w:b/>
          <w:sz w:val="24"/>
          <w:szCs w:val="24"/>
        </w:rPr>
        <w:t>:30 –</w:t>
      </w:r>
      <w:r w:rsidR="00135F7B">
        <w:rPr>
          <w:b/>
          <w:sz w:val="24"/>
          <w:szCs w:val="24"/>
        </w:rPr>
        <w:t xml:space="preserve"> 17</w:t>
      </w:r>
      <w:r w:rsidRPr="009166E1">
        <w:rPr>
          <w:b/>
          <w:sz w:val="24"/>
          <w:szCs w:val="24"/>
        </w:rPr>
        <w:t xml:space="preserve">:10 </w:t>
      </w:r>
    </w:p>
    <w:p w:rsidR="00116B3F" w:rsidRPr="00116B3F" w:rsidRDefault="00116B3F" w:rsidP="00116B3F">
      <w:pPr>
        <w:spacing w:after="0" w:line="240" w:lineRule="auto"/>
        <w:rPr>
          <w:b/>
          <w:sz w:val="32"/>
          <w:szCs w:val="32"/>
        </w:rPr>
      </w:pPr>
    </w:p>
    <w:p w:rsidR="00116B3F" w:rsidRPr="00116B3F" w:rsidRDefault="00116B3F" w:rsidP="00116B3F">
      <w:pPr>
        <w:spacing w:after="0" w:line="240" w:lineRule="auto"/>
        <w:rPr>
          <w:b/>
          <w:sz w:val="24"/>
          <w:szCs w:val="24"/>
        </w:rPr>
      </w:pPr>
      <w:r w:rsidRPr="00116B3F">
        <w:rPr>
          <w:b/>
          <w:sz w:val="24"/>
          <w:szCs w:val="24"/>
        </w:rPr>
        <w:t>Michael L. Miller</w:t>
      </w:r>
    </w:p>
    <w:p w:rsidR="00116B3F" w:rsidRPr="00116B3F" w:rsidRDefault="00116B3F" w:rsidP="00116B3F">
      <w:pPr>
        <w:spacing w:after="0" w:line="240" w:lineRule="auto"/>
        <w:rPr>
          <w:b/>
          <w:sz w:val="24"/>
          <w:szCs w:val="24"/>
        </w:rPr>
      </w:pPr>
      <w:r w:rsidRPr="00116B3F">
        <w:rPr>
          <w:b/>
          <w:sz w:val="24"/>
          <w:szCs w:val="24"/>
        </w:rPr>
        <w:t>Nationalism Studies Program</w:t>
      </w:r>
    </w:p>
    <w:p w:rsidR="00116B3F" w:rsidRPr="00116B3F" w:rsidRDefault="00116B3F" w:rsidP="00116B3F">
      <w:pPr>
        <w:spacing w:after="0" w:line="240" w:lineRule="auto"/>
        <w:rPr>
          <w:b/>
          <w:sz w:val="24"/>
          <w:szCs w:val="24"/>
        </w:rPr>
      </w:pPr>
      <w:r w:rsidRPr="00116B3F">
        <w:rPr>
          <w:b/>
          <w:sz w:val="24"/>
          <w:szCs w:val="24"/>
        </w:rPr>
        <w:t>Central European University</w:t>
      </w:r>
    </w:p>
    <w:p w:rsidR="00116B3F" w:rsidRDefault="00116B3F">
      <w:pPr>
        <w:rPr>
          <w:b/>
          <w:sz w:val="24"/>
          <w:szCs w:val="24"/>
        </w:rPr>
      </w:pPr>
    </w:p>
    <w:p w:rsidR="0081199A" w:rsidRDefault="00887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Jews </w:t>
      </w:r>
      <w:r w:rsidR="00175A1F">
        <w:rPr>
          <w:b/>
          <w:sz w:val="24"/>
          <w:szCs w:val="24"/>
        </w:rPr>
        <w:t>have been identified</w:t>
      </w:r>
      <w:r w:rsidR="00666D4F">
        <w:rPr>
          <w:b/>
          <w:sz w:val="24"/>
          <w:szCs w:val="24"/>
        </w:rPr>
        <w:t xml:space="preserve"> </w:t>
      </w:r>
      <w:r w:rsidR="00175A1F">
        <w:rPr>
          <w:b/>
          <w:sz w:val="24"/>
          <w:szCs w:val="24"/>
        </w:rPr>
        <w:t>with the city to such an extent that they are often described as the quintessenti</w:t>
      </w:r>
      <w:r w:rsidR="0044106B">
        <w:rPr>
          <w:b/>
          <w:sz w:val="24"/>
          <w:szCs w:val="24"/>
        </w:rPr>
        <w:t>al urban dwellers.</w:t>
      </w:r>
      <w:r w:rsidR="00FB162D">
        <w:rPr>
          <w:b/>
          <w:sz w:val="24"/>
          <w:szCs w:val="24"/>
        </w:rPr>
        <w:t xml:space="preserve">  This course </w:t>
      </w:r>
      <w:r w:rsidR="00B41419">
        <w:rPr>
          <w:b/>
          <w:sz w:val="24"/>
          <w:szCs w:val="24"/>
        </w:rPr>
        <w:t>examines</w:t>
      </w:r>
      <w:r w:rsidR="00FB162D">
        <w:rPr>
          <w:b/>
          <w:sz w:val="24"/>
          <w:szCs w:val="24"/>
        </w:rPr>
        <w:t xml:space="preserve"> the multifaceted </w:t>
      </w:r>
      <w:r w:rsidR="0081199A">
        <w:rPr>
          <w:b/>
          <w:sz w:val="24"/>
          <w:szCs w:val="24"/>
        </w:rPr>
        <w:t xml:space="preserve">and multivalent </w:t>
      </w:r>
      <w:r w:rsidR="00FB162D">
        <w:rPr>
          <w:b/>
          <w:sz w:val="24"/>
          <w:szCs w:val="24"/>
        </w:rPr>
        <w:t>relationships</w:t>
      </w:r>
      <w:r w:rsidR="0081199A">
        <w:rPr>
          <w:b/>
          <w:sz w:val="24"/>
          <w:szCs w:val="24"/>
        </w:rPr>
        <w:t xml:space="preserve"> between Jews and the city, from medieval Europe and North Africa to modern Europe, America and the Middle East.  It explores various forms of Jewish urban settlement, from the Venetian </w:t>
      </w:r>
      <w:r w:rsidR="0081199A">
        <w:rPr>
          <w:b/>
          <w:i/>
          <w:sz w:val="24"/>
          <w:szCs w:val="24"/>
        </w:rPr>
        <w:t>g</w:t>
      </w:r>
      <w:r w:rsidR="0081199A" w:rsidRPr="0081199A">
        <w:rPr>
          <w:b/>
          <w:i/>
          <w:sz w:val="24"/>
          <w:szCs w:val="24"/>
        </w:rPr>
        <w:t>hetto</w:t>
      </w:r>
      <w:r w:rsidR="0081199A">
        <w:rPr>
          <w:b/>
          <w:sz w:val="24"/>
          <w:szCs w:val="24"/>
        </w:rPr>
        <w:t xml:space="preserve"> and Moroccan </w:t>
      </w:r>
      <w:proofErr w:type="spellStart"/>
      <w:r w:rsidR="0081199A" w:rsidRPr="0081199A">
        <w:rPr>
          <w:b/>
          <w:i/>
          <w:sz w:val="24"/>
          <w:szCs w:val="24"/>
        </w:rPr>
        <w:t>mellah</w:t>
      </w:r>
      <w:proofErr w:type="spellEnd"/>
      <w:r w:rsidR="0081199A">
        <w:rPr>
          <w:b/>
          <w:sz w:val="24"/>
          <w:szCs w:val="24"/>
        </w:rPr>
        <w:t xml:space="preserve"> to the Eastern European </w:t>
      </w:r>
      <w:r w:rsidR="0081199A">
        <w:rPr>
          <w:b/>
          <w:i/>
          <w:sz w:val="24"/>
          <w:szCs w:val="24"/>
        </w:rPr>
        <w:t xml:space="preserve">shtetl </w:t>
      </w:r>
      <w:r w:rsidR="0081199A">
        <w:rPr>
          <w:b/>
          <w:sz w:val="24"/>
          <w:szCs w:val="24"/>
        </w:rPr>
        <w:t>and the cosmopolitan metropolis.  Jews were not always a predominantly urban people, but they underwent mass urbanization in the nineteenth century, especially in Euro</w:t>
      </w:r>
      <w:r w:rsidR="00B41419">
        <w:rPr>
          <w:b/>
          <w:sz w:val="24"/>
          <w:szCs w:val="24"/>
        </w:rPr>
        <w:t>pe and America.   Using documentary sources, belles-lettres and film, t</w:t>
      </w:r>
      <w:r w:rsidR="0081199A">
        <w:rPr>
          <w:b/>
          <w:sz w:val="24"/>
          <w:szCs w:val="24"/>
        </w:rPr>
        <w:t xml:space="preserve">his course explores the impact of </w:t>
      </w:r>
      <w:r w:rsidR="00B41419">
        <w:rPr>
          <w:b/>
          <w:sz w:val="24"/>
          <w:szCs w:val="24"/>
        </w:rPr>
        <w:t>this urbanization</w:t>
      </w:r>
      <w:r w:rsidR="0081199A">
        <w:rPr>
          <w:b/>
          <w:sz w:val="24"/>
          <w:szCs w:val="24"/>
        </w:rPr>
        <w:t xml:space="preserve"> on religious practice, </w:t>
      </w:r>
      <w:r w:rsidR="00B41419">
        <w:rPr>
          <w:b/>
          <w:sz w:val="24"/>
          <w:szCs w:val="24"/>
        </w:rPr>
        <w:t xml:space="preserve">social </w:t>
      </w:r>
      <w:r w:rsidR="0081199A">
        <w:rPr>
          <w:b/>
          <w:sz w:val="24"/>
          <w:szCs w:val="24"/>
        </w:rPr>
        <w:t>relations,</w:t>
      </w:r>
      <w:r w:rsidR="00B41419">
        <w:rPr>
          <w:b/>
          <w:sz w:val="24"/>
          <w:szCs w:val="24"/>
        </w:rPr>
        <w:t xml:space="preserve"> and patterns of assimilation, paying particular attention to the growing identification of Jews with the charms and vices of the big city.  </w:t>
      </w:r>
      <w:r w:rsidR="00DB6EBA">
        <w:rPr>
          <w:b/>
          <w:sz w:val="24"/>
          <w:szCs w:val="24"/>
        </w:rPr>
        <w:t>Three cities will be examined in greater detail</w:t>
      </w:r>
      <w:r w:rsidR="00B41419">
        <w:rPr>
          <w:b/>
          <w:sz w:val="24"/>
          <w:szCs w:val="24"/>
        </w:rPr>
        <w:t xml:space="preserve">:  Budapest, New York and Tel Aviv.  </w:t>
      </w:r>
      <w:r w:rsidR="00DB6EBA">
        <w:rPr>
          <w:b/>
          <w:sz w:val="24"/>
          <w:szCs w:val="24"/>
        </w:rPr>
        <w:t xml:space="preserve">We will also reflect on “cities without Jews,” probing the perceived relationships between Jews and the city that come into sharper focus only with the Jews’ real or imagined absence. </w:t>
      </w:r>
    </w:p>
    <w:p w:rsidR="00740E68" w:rsidRP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Learning Outcomes: By the end of this course, students will be able to:</w:t>
      </w:r>
    </w:p>
    <w:p w:rsidR="00740E68" w:rsidRP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</w:t>
      </w:r>
      <w:r w:rsidRPr="00740E68">
        <w:rPr>
          <w:b/>
          <w:sz w:val="24"/>
          <w:szCs w:val="24"/>
        </w:rPr>
        <w:tab/>
      </w:r>
      <w:r w:rsidR="00887098">
        <w:rPr>
          <w:b/>
          <w:sz w:val="24"/>
          <w:szCs w:val="24"/>
        </w:rPr>
        <w:t>Place</w:t>
      </w:r>
      <w:r w:rsidRPr="00740E68">
        <w:rPr>
          <w:b/>
          <w:sz w:val="24"/>
          <w:szCs w:val="24"/>
        </w:rPr>
        <w:t xml:space="preserve"> </w:t>
      </w:r>
      <w:r w:rsidR="00887098">
        <w:rPr>
          <w:b/>
          <w:sz w:val="24"/>
          <w:szCs w:val="24"/>
        </w:rPr>
        <w:t xml:space="preserve">various forms of Jewish urban settlement in their historical and </w:t>
      </w:r>
      <w:r w:rsidR="00EC6C3C">
        <w:rPr>
          <w:b/>
          <w:sz w:val="24"/>
          <w:szCs w:val="24"/>
        </w:rPr>
        <w:t>regional</w:t>
      </w:r>
      <w:r w:rsidR="00887098">
        <w:rPr>
          <w:b/>
          <w:sz w:val="24"/>
          <w:szCs w:val="24"/>
        </w:rPr>
        <w:t xml:space="preserve"> context</w:t>
      </w:r>
    </w:p>
    <w:p w:rsidR="00740E68" w:rsidRP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</w:t>
      </w:r>
      <w:r w:rsidRPr="00740E68">
        <w:rPr>
          <w:b/>
          <w:sz w:val="24"/>
          <w:szCs w:val="24"/>
        </w:rPr>
        <w:tab/>
      </w:r>
      <w:r w:rsidR="00887098">
        <w:rPr>
          <w:b/>
          <w:sz w:val="24"/>
          <w:szCs w:val="24"/>
        </w:rPr>
        <w:t xml:space="preserve">Discuss the relationship between Jews and modern urban culture </w:t>
      </w:r>
    </w:p>
    <w:p w:rsidR="00887098" w:rsidRDefault="00740E68" w:rsidP="00676A47">
      <w:pPr>
        <w:ind w:left="720" w:hanging="720"/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</w:t>
      </w:r>
      <w:r w:rsidRPr="00740E68">
        <w:rPr>
          <w:b/>
          <w:sz w:val="24"/>
          <w:szCs w:val="24"/>
        </w:rPr>
        <w:tab/>
      </w:r>
      <w:r w:rsidR="00887098">
        <w:rPr>
          <w:b/>
          <w:sz w:val="24"/>
          <w:szCs w:val="24"/>
        </w:rPr>
        <w:t xml:space="preserve">Expound on the role of the city in the formation of Jewish </w:t>
      </w:r>
      <w:r w:rsidR="00EC6C3C">
        <w:rPr>
          <w:b/>
          <w:sz w:val="24"/>
          <w:szCs w:val="24"/>
        </w:rPr>
        <w:t xml:space="preserve">stereotypes and </w:t>
      </w:r>
      <w:r w:rsidR="00676A47">
        <w:rPr>
          <w:b/>
          <w:sz w:val="24"/>
          <w:szCs w:val="24"/>
        </w:rPr>
        <w:t xml:space="preserve">Jewish </w:t>
      </w:r>
      <w:r w:rsidR="00EC6C3C">
        <w:rPr>
          <w:b/>
          <w:sz w:val="24"/>
          <w:szCs w:val="24"/>
        </w:rPr>
        <w:t>lifeways</w:t>
      </w:r>
    </w:p>
    <w:p w:rsidR="00887098" w:rsidRPr="00740E68" w:rsidRDefault="0088709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</w:t>
      </w:r>
      <w:r>
        <w:rPr>
          <w:b/>
          <w:sz w:val="24"/>
          <w:szCs w:val="24"/>
        </w:rPr>
        <w:tab/>
      </w:r>
      <w:r w:rsidR="00676A47">
        <w:rPr>
          <w:b/>
          <w:sz w:val="24"/>
          <w:szCs w:val="24"/>
        </w:rPr>
        <w:t>Examine representations of space in a wide variety of primary sources</w:t>
      </w:r>
    </w:p>
    <w:p w:rsidR="00740E68" w:rsidRP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</w:t>
      </w:r>
      <w:r w:rsidRPr="00740E68">
        <w:rPr>
          <w:b/>
          <w:sz w:val="24"/>
          <w:szCs w:val="24"/>
        </w:rPr>
        <w:tab/>
        <w:t xml:space="preserve">Develop critical reading skills  </w:t>
      </w:r>
    </w:p>
    <w:p w:rsidR="00740E68" w:rsidRPr="00740E68" w:rsidRDefault="00740E68" w:rsidP="00740E68">
      <w:pPr>
        <w:rPr>
          <w:b/>
          <w:sz w:val="24"/>
          <w:szCs w:val="24"/>
        </w:rPr>
      </w:pPr>
    </w:p>
    <w:p w:rsidR="00740E68" w:rsidRP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 xml:space="preserve">Requirements: All students are expected to come to class prepared to discuss the assigned readings.  In addition, all students are required to give a 20-minute class presentation, </w:t>
      </w:r>
      <w:r>
        <w:rPr>
          <w:b/>
          <w:sz w:val="24"/>
          <w:szCs w:val="24"/>
        </w:rPr>
        <w:t xml:space="preserve">a 4-6 page (1,000-1,500 word) book review, and a </w:t>
      </w:r>
      <w:r w:rsidRPr="00740E68">
        <w:rPr>
          <w:b/>
          <w:sz w:val="24"/>
          <w:szCs w:val="24"/>
        </w:rPr>
        <w:t xml:space="preserve">10-12 page </w:t>
      </w:r>
      <w:r>
        <w:rPr>
          <w:b/>
          <w:sz w:val="24"/>
          <w:szCs w:val="24"/>
        </w:rPr>
        <w:t xml:space="preserve">(2,500-3,000 word) </w:t>
      </w:r>
      <w:r w:rsidRPr="00740E68">
        <w:rPr>
          <w:b/>
          <w:sz w:val="24"/>
          <w:szCs w:val="24"/>
        </w:rPr>
        <w:t>research paper.</w:t>
      </w:r>
    </w:p>
    <w:p w:rsidR="00740E68" w:rsidRPr="00740E68" w:rsidRDefault="00740E68" w:rsidP="00740E68">
      <w:pPr>
        <w:rPr>
          <w:b/>
          <w:sz w:val="24"/>
          <w:szCs w:val="24"/>
        </w:rPr>
      </w:pPr>
    </w:p>
    <w:p w:rsidR="00740E68" w:rsidRPr="00740E68" w:rsidRDefault="00740E68" w:rsidP="00740E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Participation: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 w:rsidRPr="00740E68">
        <w:rPr>
          <w:b/>
          <w:sz w:val="24"/>
          <w:szCs w:val="24"/>
        </w:rPr>
        <w:t>%</w:t>
      </w:r>
    </w:p>
    <w:p w:rsidR="00740E68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>Clas</w:t>
      </w:r>
      <w:r>
        <w:rPr>
          <w:b/>
          <w:sz w:val="24"/>
          <w:szCs w:val="24"/>
        </w:rPr>
        <w:t xml:space="preserve">s Presentation (20 minutes): </w:t>
      </w:r>
      <w:r>
        <w:rPr>
          <w:b/>
          <w:sz w:val="24"/>
          <w:szCs w:val="24"/>
        </w:rPr>
        <w:tab/>
        <w:t>15</w:t>
      </w:r>
      <w:r w:rsidRPr="00740E68">
        <w:rPr>
          <w:b/>
          <w:sz w:val="24"/>
          <w:szCs w:val="24"/>
        </w:rPr>
        <w:t>%</w:t>
      </w:r>
    </w:p>
    <w:p w:rsidR="00740E68" w:rsidRPr="00740E68" w:rsidRDefault="00740E68" w:rsidP="00740E6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 Review (4-5 pages)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20%</w:t>
      </w:r>
      <w:r w:rsidR="009166E1">
        <w:rPr>
          <w:b/>
          <w:sz w:val="24"/>
          <w:szCs w:val="24"/>
        </w:rPr>
        <w:tab/>
      </w:r>
      <w:r w:rsidR="009166E1">
        <w:rPr>
          <w:b/>
          <w:sz w:val="24"/>
          <w:szCs w:val="24"/>
        </w:rPr>
        <w:tab/>
      </w:r>
      <w:r w:rsidR="009166E1" w:rsidRPr="009166E1">
        <w:rPr>
          <w:b/>
          <w:color w:val="FF0000"/>
          <w:sz w:val="24"/>
          <w:szCs w:val="24"/>
        </w:rPr>
        <w:t>Due</w:t>
      </w:r>
      <w:r w:rsidR="009166E1">
        <w:rPr>
          <w:b/>
          <w:color w:val="FF0000"/>
          <w:sz w:val="24"/>
          <w:szCs w:val="24"/>
        </w:rPr>
        <w:t xml:space="preserve"> date</w:t>
      </w:r>
      <w:r w:rsidR="009166E1" w:rsidRPr="009166E1">
        <w:rPr>
          <w:b/>
          <w:color w:val="FF0000"/>
          <w:sz w:val="24"/>
          <w:szCs w:val="24"/>
        </w:rPr>
        <w:t xml:space="preserve">: </w:t>
      </w:r>
      <w:r w:rsidR="009B3C2C">
        <w:rPr>
          <w:b/>
          <w:color w:val="FF0000"/>
          <w:sz w:val="24"/>
          <w:szCs w:val="24"/>
        </w:rPr>
        <w:t xml:space="preserve">February </w:t>
      </w:r>
      <w:r w:rsidR="009166E1" w:rsidRPr="009166E1">
        <w:rPr>
          <w:b/>
          <w:color w:val="FF0000"/>
          <w:sz w:val="24"/>
          <w:szCs w:val="24"/>
        </w:rPr>
        <w:t>2</w:t>
      </w:r>
      <w:r w:rsidR="009B3C2C">
        <w:rPr>
          <w:b/>
          <w:color w:val="FF0000"/>
          <w:sz w:val="24"/>
          <w:szCs w:val="24"/>
        </w:rPr>
        <w:t>6</w:t>
      </w:r>
    </w:p>
    <w:p w:rsidR="00116B3F" w:rsidRDefault="00740E68" w:rsidP="00740E68">
      <w:pPr>
        <w:rPr>
          <w:b/>
          <w:sz w:val="24"/>
          <w:szCs w:val="24"/>
        </w:rPr>
      </w:pPr>
      <w:r w:rsidRPr="00740E68">
        <w:rPr>
          <w:b/>
          <w:sz w:val="24"/>
          <w:szCs w:val="24"/>
        </w:rPr>
        <w:t xml:space="preserve">Research Paper (10-12 pages): </w:t>
      </w:r>
      <w:r w:rsidRPr="00740E68">
        <w:rPr>
          <w:b/>
          <w:sz w:val="24"/>
          <w:szCs w:val="24"/>
        </w:rPr>
        <w:tab/>
        <w:t>50%</w:t>
      </w:r>
      <w:r w:rsidR="009166E1">
        <w:rPr>
          <w:b/>
          <w:sz w:val="24"/>
          <w:szCs w:val="24"/>
        </w:rPr>
        <w:tab/>
      </w:r>
      <w:r w:rsidR="009166E1">
        <w:rPr>
          <w:b/>
          <w:sz w:val="24"/>
          <w:szCs w:val="24"/>
        </w:rPr>
        <w:tab/>
      </w:r>
      <w:r w:rsidR="009166E1" w:rsidRPr="009166E1">
        <w:rPr>
          <w:b/>
          <w:color w:val="FF0000"/>
          <w:sz w:val="24"/>
          <w:szCs w:val="24"/>
        </w:rPr>
        <w:t>Due</w:t>
      </w:r>
      <w:r w:rsidR="009166E1">
        <w:rPr>
          <w:b/>
          <w:color w:val="FF0000"/>
          <w:sz w:val="24"/>
          <w:szCs w:val="24"/>
        </w:rPr>
        <w:t xml:space="preserve"> date</w:t>
      </w:r>
      <w:r w:rsidR="009166E1" w:rsidRPr="009166E1">
        <w:rPr>
          <w:b/>
          <w:color w:val="FF0000"/>
          <w:sz w:val="24"/>
          <w:szCs w:val="24"/>
        </w:rPr>
        <w:t xml:space="preserve">: </w:t>
      </w:r>
      <w:r w:rsidR="009B3C2C">
        <w:rPr>
          <w:b/>
          <w:color w:val="FF0000"/>
          <w:sz w:val="24"/>
          <w:szCs w:val="24"/>
        </w:rPr>
        <w:t>April 9</w:t>
      </w:r>
    </w:p>
    <w:p w:rsidR="00740E68" w:rsidRPr="00116B3F" w:rsidRDefault="00740E68" w:rsidP="00740E68">
      <w:pPr>
        <w:rPr>
          <w:b/>
          <w:sz w:val="24"/>
          <w:szCs w:val="24"/>
        </w:rPr>
      </w:pPr>
    </w:p>
    <w:p w:rsidR="008738F4" w:rsidRPr="00116B3F" w:rsidRDefault="008738F4">
      <w:pPr>
        <w:rPr>
          <w:b/>
          <w:sz w:val="24"/>
          <w:szCs w:val="24"/>
        </w:rPr>
      </w:pPr>
      <w:r w:rsidRPr="00116B3F">
        <w:rPr>
          <w:b/>
          <w:sz w:val="24"/>
          <w:szCs w:val="24"/>
        </w:rPr>
        <w:t>Week 1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Jan.</w:t>
      </w:r>
      <w:r w:rsidR="00EC2DB6">
        <w:rPr>
          <w:b/>
          <w:sz w:val="24"/>
          <w:szCs w:val="24"/>
        </w:rPr>
        <w:t xml:space="preserve"> 11)</w:t>
      </w:r>
      <w:r w:rsidRPr="00116B3F">
        <w:rPr>
          <w:b/>
          <w:sz w:val="24"/>
          <w:szCs w:val="24"/>
        </w:rPr>
        <w:t xml:space="preserve">: </w:t>
      </w:r>
      <w:r w:rsidRPr="00116B3F">
        <w:rPr>
          <w:b/>
          <w:sz w:val="24"/>
          <w:szCs w:val="24"/>
        </w:rPr>
        <w:tab/>
        <w:t xml:space="preserve">Introduction </w:t>
      </w:r>
    </w:p>
    <w:p w:rsidR="008738F4" w:rsidRPr="00116B3F" w:rsidRDefault="008738F4">
      <w:pPr>
        <w:rPr>
          <w:b/>
          <w:sz w:val="24"/>
          <w:szCs w:val="24"/>
        </w:rPr>
      </w:pPr>
    </w:p>
    <w:p w:rsidR="009A5035" w:rsidRPr="00EC2DB6" w:rsidRDefault="008738F4">
      <w:pPr>
        <w:rPr>
          <w:b/>
          <w:sz w:val="24"/>
          <w:szCs w:val="24"/>
        </w:rPr>
      </w:pPr>
      <w:r w:rsidRPr="00EC2DB6">
        <w:rPr>
          <w:b/>
          <w:sz w:val="24"/>
          <w:szCs w:val="24"/>
        </w:rPr>
        <w:t>Week 2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Jan</w:t>
      </w:r>
      <w:r w:rsidR="00EC2DB6">
        <w:rPr>
          <w:b/>
          <w:sz w:val="24"/>
          <w:szCs w:val="24"/>
        </w:rPr>
        <w:t>. 18)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9A5035" w:rsidRPr="00EC2DB6">
        <w:rPr>
          <w:b/>
          <w:sz w:val="24"/>
          <w:szCs w:val="24"/>
        </w:rPr>
        <w:t>The City</w:t>
      </w:r>
    </w:p>
    <w:p w:rsidR="00262E5A" w:rsidRPr="00EC2DB6" w:rsidRDefault="00432BAC">
      <w:pPr>
        <w:rPr>
          <w:sz w:val="24"/>
          <w:szCs w:val="24"/>
        </w:rPr>
      </w:pPr>
      <w:r w:rsidRPr="00EC2DB6">
        <w:rPr>
          <w:sz w:val="24"/>
          <w:szCs w:val="24"/>
        </w:rPr>
        <w:t>Georg Simmel, “The Stranger</w:t>
      </w:r>
      <w:r w:rsidR="00151BF3" w:rsidRPr="00EC2DB6">
        <w:rPr>
          <w:sz w:val="24"/>
          <w:szCs w:val="24"/>
        </w:rPr>
        <w:t>”</w:t>
      </w:r>
    </w:p>
    <w:p w:rsidR="00262E5A" w:rsidRPr="00EC2DB6" w:rsidRDefault="00151BF3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Georg Simmel, “The Metropolis and Mental Life” </w:t>
      </w:r>
    </w:p>
    <w:p w:rsidR="00262E5A" w:rsidRPr="00EC2DB6" w:rsidRDefault="00262E5A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J. </w:t>
      </w:r>
      <w:proofErr w:type="spellStart"/>
      <w:r w:rsidRPr="00EC2DB6">
        <w:rPr>
          <w:sz w:val="24"/>
          <w:szCs w:val="24"/>
        </w:rPr>
        <w:t>Rumyaneck</w:t>
      </w:r>
      <w:proofErr w:type="spellEnd"/>
      <w:r w:rsidRPr="00EC2DB6">
        <w:rPr>
          <w:sz w:val="24"/>
          <w:szCs w:val="24"/>
        </w:rPr>
        <w:t xml:space="preserve">, “An Urbanized Community,” </w:t>
      </w:r>
      <w:r w:rsidRPr="00EC2DB6">
        <w:rPr>
          <w:i/>
          <w:sz w:val="24"/>
          <w:szCs w:val="24"/>
        </w:rPr>
        <w:t xml:space="preserve">American Journal of Sociology, </w:t>
      </w:r>
      <w:r w:rsidRPr="00EC2DB6">
        <w:rPr>
          <w:sz w:val="24"/>
          <w:szCs w:val="24"/>
        </w:rPr>
        <w:t>Vol. 38, No. 4 (January 1938), 523-535.</w:t>
      </w:r>
    </w:p>
    <w:p w:rsidR="009A5035" w:rsidRPr="00EC2DB6" w:rsidRDefault="009A5035">
      <w:pPr>
        <w:rPr>
          <w:b/>
          <w:sz w:val="24"/>
          <w:szCs w:val="24"/>
        </w:rPr>
      </w:pPr>
    </w:p>
    <w:p w:rsidR="00183DF2" w:rsidRPr="00EC2DB6" w:rsidRDefault="008738F4">
      <w:pPr>
        <w:rPr>
          <w:b/>
          <w:sz w:val="24"/>
          <w:szCs w:val="24"/>
        </w:rPr>
      </w:pPr>
      <w:r w:rsidRPr="00EC2DB6">
        <w:rPr>
          <w:b/>
          <w:sz w:val="24"/>
          <w:szCs w:val="24"/>
        </w:rPr>
        <w:t>Week 3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Jan</w:t>
      </w:r>
      <w:r w:rsidR="00EC2DB6">
        <w:rPr>
          <w:b/>
          <w:sz w:val="24"/>
          <w:szCs w:val="24"/>
        </w:rPr>
        <w:t>. 25)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A87B00" w:rsidRPr="00EC2DB6">
        <w:rPr>
          <w:b/>
          <w:sz w:val="24"/>
          <w:szCs w:val="24"/>
        </w:rPr>
        <w:t xml:space="preserve">The </w:t>
      </w:r>
      <w:r w:rsidR="000C49C2" w:rsidRPr="00EC2DB6">
        <w:rPr>
          <w:b/>
          <w:sz w:val="24"/>
          <w:szCs w:val="24"/>
        </w:rPr>
        <w:t>Ghetto</w:t>
      </w:r>
    </w:p>
    <w:p w:rsidR="004E156F" w:rsidRPr="00EC2DB6" w:rsidRDefault="004E156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Benjamin C. </w:t>
      </w:r>
      <w:proofErr w:type="spellStart"/>
      <w:r w:rsidRPr="00EC2DB6">
        <w:rPr>
          <w:sz w:val="24"/>
          <w:szCs w:val="24"/>
        </w:rPr>
        <w:t>Ravid</w:t>
      </w:r>
      <w:proofErr w:type="spellEnd"/>
      <w:r w:rsidRPr="00EC2DB6">
        <w:rPr>
          <w:sz w:val="24"/>
          <w:szCs w:val="24"/>
        </w:rPr>
        <w:t xml:space="preserve">, “From Geographical Realia to Historiographical Symbol: the Odyssey of the Word ‘ghetto’,” in David Ruderman, ed., </w:t>
      </w:r>
      <w:r w:rsidRPr="00EC2DB6">
        <w:rPr>
          <w:i/>
          <w:sz w:val="24"/>
          <w:szCs w:val="24"/>
        </w:rPr>
        <w:t xml:space="preserve">Essential Papers in Jewish Culture in Renaissance and Baroque Italy </w:t>
      </w:r>
      <w:r w:rsidRPr="00EC2DB6">
        <w:rPr>
          <w:sz w:val="24"/>
          <w:szCs w:val="24"/>
        </w:rPr>
        <w:t>(New York: NYU Press, 1992), 373-385.</w:t>
      </w:r>
    </w:p>
    <w:p w:rsidR="00D95381" w:rsidRPr="00EC2DB6" w:rsidRDefault="00D95381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Richard Sennett, </w:t>
      </w:r>
      <w:r w:rsidRPr="00EC2DB6">
        <w:rPr>
          <w:i/>
          <w:sz w:val="24"/>
          <w:szCs w:val="24"/>
        </w:rPr>
        <w:t>Flesh and Stone: The Body and the City in Western Civilization</w:t>
      </w:r>
      <w:r w:rsidRPr="00EC2DB6">
        <w:rPr>
          <w:sz w:val="24"/>
          <w:szCs w:val="24"/>
        </w:rPr>
        <w:t xml:space="preserve"> (London: Faber and Faber, 1994, Chapter 7 (“Fear of Touching: The Jewish Ghetto in Renaissance Venice”), 212-251.</w:t>
      </w:r>
    </w:p>
    <w:p w:rsidR="00D41778" w:rsidRPr="00EC2DB6" w:rsidRDefault="00D4177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Brian S. </w:t>
      </w:r>
      <w:proofErr w:type="spellStart"/>
      <w:r w:rsidRPr="00EC2DB6">
        <w:rPr>
          <w:sz w:val="24"/>
          <w:szCs w:val="24"/>
        </w:rPr>
        <w:t>Pullan</w:t>
      </w:r>
      <w:proofErr w:type="spellEnd"/>
      <w:r w:rsidRPr="00EC2DB6">
        <w:rPr>
          <w:sz w:val="24"/>
          <w:szCs w:val="24"/>
        </w:rPr>
        <w:t xml:space="preserve">, "Shakespeare's Shylock: Evidence from Venice," in Bernard D. Cooperman and Barbara Garvin, eds., </w:t>
      </w:r>
      <w:r w:rsidRPr="00EC2DB6">
        <w:rPr>
          <w:i/>
          <w:sz w:val="24"/>
          <w:szCs w:val="24"/>
        </w:rPr>
        <w:t>The Jews of Italy: Memory and Identity</w:t>
      </w:r>
      <w:r w:rsidRPr="00EC2DB6">
        <w:rPr>
          <w:sz w:val="24"/>
          <w:szCs w:val="24"/>
        </w:rPr>
        <w:t xml:space="preserve"> (Bethesda: University Press of Maryland, 2000), 193-208.</w:t>
      </w:r>
    </w:p>
    <w:p w:rsidR="000A0C10" w:rsidRPr="00EC2DB6" w:rsidRDefault="000A0C10">
      <w:pPr>
        <w:rPr>
          <w:sz w:val="24"/>
          <w:szCs w:val="24"/>
        </w:rPr>
      </w:pPr>
    </w:p>
    <w:p w:rsidR="00D41778" w:rsidRPr="00EC2DB6" w:rsidRDefault="00D4177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William Shakespeare, </w:t>
      </w:r>
      <w:r w:rsidRPr="00EC2DB6">
        <w:rPr>
          <w:i/>
          <w:sz w:val="24"/>
          <w:szCs w:val="24"/>
        </w:rPr>
        <w:t>The Merchant of Venice</w:t>
      </w:r>
      <w:r w:rsidRPr="00EC2DB6">
        <w:rPr>
          <w:sz w:val="24"/>
          <w:szCs w:val="24"/>
        </w:rPr>
        <w:t xml:space="preserve">, </w:t>
      </w:r>
      <w:r w:rsidR="00836742" w:rsidRPr="00EC2DB6">
        <w:rPr>
          <w:sz w:val="24"/>
          <w:szCs w:val="24"/>
        </w:rPr>
        <w:t>Act I, Scene III.</w:t>
      </w:r>
    </w:p>
    <w:p w:rsidR="00396044" w:rsidRPr="00EC2DB6" w:rsidRDefault="00396044">
      <w:pPr>
        <w:rPr>
          <w:sz w:val="24"/>
          <w:szCs w:val="24"/>
        </w:rPr>
      </w:pPr>
    </w:p>
    <w:p w:rsidR="00D95381" w:rsidRPr="00EC2DB6" w:rsidRDefault="008527B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FILM: </w:t>
      </w:r>
      <w:r w:rsidR="00D41778" w:rsidRPr="00EC2DB6">
        <w:rPr>
          <w:i/>
          <w:sz w:val="24"/>
          <w:szCs w:val="24"/>
        </w:rPr>
        <w:t xml:space="preserve">The Merchant of Venice </w:t>
      </w:r>
      <w:r w:rsidR="00D41778" w:rsidRPr="00EC2DB6">
        <w:rPr>
          <w:sz w:val="24"/>
          <w:szCs w:val="24"/>
        </w:rPr>
        <w:t>(2004),</w:t>
      </w:r>
      <w:r w:rsidRPr="00EC2DB6">
        <w:rPr>
          <w:sz w:val="24"/>
          <w:szCs w:val="24"/>
        </w:rPr>
        <w:t xml:space="preserve"> </w:t>
      </w:r>
      <w:r w:rsidR="003E2186" w:rsidRPr="00EC2DB6">
        <w:rPr>
          <w:sz w:val="24"/>
          <w:szCs w:val="24"/>
        </w:rPr>
        <w:t xml:space="preserve">directed </w:t>
      </w:r>
      <w:r w:rsidR="00D41778" w:rsidRPr="00EC2DB6">
        <w:rPr>
          <w:sz w:val="24"/>
          <w:szCs w:val="24"/>
        </w:rPr>
        <w:t xml:space="preserve">by Michael Radford (selections).  </w:t>
      </w:r>
    </w:p>
    <w:p w:rsidR="00D95381" w:rsidRPr="00EC2DB6" w:rsidRDefault="00D95381">
      <w:pPr>
        <w:rPr>
          <w:sz w:val="24"/>
          <w:szCs w:val="24"/>
        </w:rPr>
      </w:pPr>
    </w:p>
    <w:p w:rsidR="00D95381" w:rsidRPr="00EC2DB6" w:rsidRDefault="008738F4">
      <w:pPr>
        <w:rPr>
          <w:sz w:val="24"/>
          <w:szCs w:val="24"/>
        </w:rPr>
      </w:pPr>
      <w:r w:rsidRPr="00EC2DB6">
        <w:rPr>
          <w:b/>
          <w:sz w:val="24"/>
          <w:szCs w:val="24"/>
        </w:rPr>
        <w:t>Week 4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Feb</w:t>
      </w:r>
      <w:r w:rsidR="00EC2DB6">
        <w:rPr>
          <w:b/>
          <w:sz w:val="24"/>
          <w:szCs w:val="24"/>
        </w:rPr>
        <w:t xml:space="preserve">. </w:t>
      </w:r>
      <w:r w:rsidR="009B3C2C">
        <w:rPr>
          <w:b/>
          <w:sz w:val="24"/>
          <w:szCs w:val="24"/>
        </w:rPr>
        <w:t>1</w:t>
      </w:r>
      <w:r w:rsidR="00EC2DB6">
        <w:rPr>
          <w:b/>
          <w:sz w:val="24"/>
          <w:szCs w:val="24"/>
        </w:rPr>
        <w:t>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A87B00" w:rsidRPr="00EC2DB6">
        <w:rPr>
          <w:b/>
          <w:sz w:val="24"/>
          <w:szCs w:val="24"/>
        </w:rPr>
        <w:t xml:space="preserve">The </w:t>
      </w:r>
      <w:proofErr w:type="spellStart"/>
      <w:r w:rsidR="00D95381" w:rsidRPr="00EC2DB6">
        <w:rPr>
          <w:b/>
          <w:sz w:val="24"/>
          <w:szCs w:val="24"/>
        </w:rPr>
        <w:t>Mellah</w:t>
      </w:r>
      <w:proofErr w:type="spellEnd"/>
      <w:r w:rsidR="000C49C2" w:rsidRPr="00EC2DB6">
        <w:rPr>
          <w:b/>
          <w:sz w:val="24"/>
          <w:szCs w:val="24"/>
        </w:rPr>
        <w:t xml:space="preserve"> </w:t>
      </w:r>
    </w:p>
    <w:p w:rsidR="007C0380" w:rsidRPr="00EC2DB6" w:rsidRDefault="007C0380">
      <w:pPr>
        <w:rPr>
          <w:sz w:val="24"/>
          <w:szCs w:val="24"/>
        </w:rPr>
      </w:pPr>
      <w:r w:rsidRPr="00EC2DB6">
        <w:rPr>
          <w:sz w:val="24"/>
          <w:szCs w:val="24"/>
        </w:rPr>
        <w:lastRenderedPageBreak/>
        <w:t xml:space="preserve">Mark R. Cohen, </w:t>
      </w:r>
      <w:r w:rsidRPr="00EC2DB6">
        <w:rPr>
          <w:i/>
          <w:sz w:val="24"/>
          <w:szCs w:val="24"/>
        </w:rPr>
        <w:t>Under Crescent and Cross: The Jews in the Middle Ages</w:t>
      </w:r>
      <w:r w:rsidRPr="00EC2DB6">
        <w:rPr>
          <w:sz w:val="24"/>
          <w:szCs w:val="24"/>
        </w:rPr>
        <w:t xml:space="preserve"> (Princeton: Princeton University Press, 1994), Chapter 7 (“The Jew as Townsman”), 121-128. </w:t>
      </w:r>
    </w:p>
    <w:p w:rsidR="006179AD" w:rsidRPr="00EC2DB6" w:rsidRDefault="00D95381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Emily </w:t>
      </w:r>
      <w:proofErr w:type="spellStart"/>
      <w:r w:rsidRPr="00EC2DB6">
        <w:rPr>
          <w:sz w:val="24"/>
          <w:szCs w:val="24"/>
        </w:rPr>
        <w:t>Gottreich</w:t>
      </w:r>
      <w:proofErr w:type="spellEnd"/>
      <w:r w:rsidRPr="00EC2DB6">
        <w:rPr>
          <w:sz w:val="24"/>
          <w:szCs w:val="24"/>
        </w:rPr>
        <w:t xml:space="preserve">, “Rethinking the ‘Islamic City’ from the Perspective of Jewish Space,” </w:t>
      </w:r>
      <w:r w:rsidRPr="00EC2DB6">
        <w:rPr>
          <w:i/>
          <w:sz w:val="24"/>
          <w:szCs w:val="24"/>
        </w:rPr>
        <w:t xml:space="preserve">Jewish Social Studies </w:t>
      </w:r>
      <w:r w:rsidR="006D280F" w:rsidRPr="00EC2DB6">
        <w:rPr>
          <w:sz w:val="24"/>
          <w:szCs w:val="24"/>
        </w:rPr>
        <w:t>11, N</w:t>
      </w:r>
      <w:r w:rsidRPr="00EC2DB6">
        <w:rPr>
          <w:sz w:val="24"/>
          <w:szCs w:val="24"/>
        </w:rPr>
        <w:t>o. 1 (Fall 2004): 118-146.</w:t>
      </w:r>
    </w:p>
    <w:p w:rsidR="00D95381" w:rsidRPr="00EC2DB6" w:rsidRDefault="006D280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Susan Gilson Miller, Attilio </w:t>
      </w:r>
      <w:proofErr w:type="spellStart"/>
      <w:r w:rsidRPr="00EC2DB6">
        <w:rPr>
          <w:sz w:val="24"/>
          <w:szCs w:val="24"/>
        </w:rPr>
        <w:t>Petruccioli</w:t>
      </w:r>
      <w:proofErr w:type="spellEnd"/>
      <w:r w:rsidRPr="00EC2DB6">
        <w:rPr>
          <w:sz w:val="24"/>
          <w:szCs w:val="24"/>
        </w:rPr>
        <w:t xml:space="preserve"> and Mauro </w:t>
      </w:r>
      <w:proofErr w:type="spellStart"/>
      <w:r w:rsidRPr="00EC2DB6">
        <w:rPr>
          <w:sz w:val="24"/>
          <w:szCs w:val="24"/>
        </w:rPr>
        <w:t>Bertagnin</w:t>
      </w:r>
      <w:proofErr w:type="spellEnd"/>
      <w:r w:rsidRPr="00EC2DB6">
        <w:rPr>
          <w:sz w:val="24"/>
          <w:szCs w:val="24"/>
        </w:rPr>
        <w:t xml:space="preserve">, “Inscribing Minority Space in the Islamic City: The </w:t>
      </w:r>
      <w:proofErr w:type="spellStart"/>
      <w:r w:rsidRPr="00EC2DB6">
        <w:rPr>
          <w:sz w:val="24"/>
          <w:szCs w:val="24"/>
        </w:rPr>
        <w:t>Jewsih</w:t>
      </w:r>
      <w:proofErr w:type="spellEnd"/>
      <w:r w:rsidRPr="00EC2DB6">
        <w:rPr>
          <w:sz w:val="24"/>
          <w:szCs w:val="24"/>
        </w:rPr>
        <w:t xml:space="preserve"> Quarter of Fez (1438-1912),” </w:t>
      </w:r>
      <w:r w:rsidRPr="00EC2DB6">
        <w:rPr>
          <w:i/>
          <w:sz w:val="24"/>
          <w:szCs w:val="24"/>
        </w:rPr>
        <w:t>Journal of the Society of Architectural Historians</w:t>
      </w:r>
      <w:r w:rsidRPr="00EC2DB6">
        <w:rPr>
          <w:sz w:val="24"/>
          <w:szCs w:val="24"/>
        </w:rPr>
        <w:t>, Vol. 60, No. 3 (September 2001): 310-327.</w:t>
      </w:r>
    </w:p>
    <w:p w:rsidR="004E156F" w:rsidRPr="00EC2DB6" w:rsidRDefault="004E156F">
      <w:pPr>
        <w:rPr>
          <w:sz w:val="24"/>
          <w:szCs w:val="24"/>
        </w:rPr>
      </w:pPr>
    </w:p>
    <w:p w:rsidR="000C49C2" w:rsidRPr="00EC2DB6" w:rsidRDefault="004E156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William </w:t>
      </w:r>
      <w:proofErr w:type="spellStart"/>
      <w:r w:rsidRPr="00EC2DB6">
        <w:rPr>
          <w:sz w:val="24"/>
          <w:szCs w:val="24"/>
        </w:rPr>
        <w:t>Lempriere</w:t>
      </w:r>
      <w:proofErr w:type="spellEnd"/>
      <w:r w:rsidRPr="00EC2DB6">
        <w:rPr>
          <w:sz w:val="24"/>
          <w:szCs w:val="24"/>
        </w:rPr>
        <w:t xml:space="preserve">, “The Manners and Customs of Moroccan Jewry” and “The Jews of Marrakesh,” in Norman A. Stillman, </w:t>
      </w:r>
      <w:r w:rsidRPr="00EC2DB6">
        <w:rPr>
          <w:i/>
          <w:sz w:val="24"/>
          <w:szCs w:val="24"/>
        </w:rPr>
        <w:t xml:space="preserve">The Jews of Arab Lands: A History and Source Book </w:t>
      </w:r>
      <w:r w:rsidRPr="00EC2DB6">
        <w:rPr>
          <w:sz w:val="24"/>
          <w:szCs w:val="24"/>
        </w:rPr>
        <w:t xml:space="preserve">(Philadelphia: JPS, 1979), 312-316. </w:t>
      </w:r>
    </w:p>
    <w:p w:rsidR="00110ACB" w:rsidRPr="00EC2DB6" w:rsidRDefault="00110ACB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Amram </w:t>
      </w:r>
      <w:proofErr w:type="spellStart"/>
      <w:r w:rsidRPr="00EC2DB6">
        <w:rPr>
          <w:sz w:val="24"/>
          <w:szCs w:val="24"/>
        </w:rPr>
        <w:t>Elmaleh</w:t>
      </w:r>
      <w:proofErr w:type="spellEnd"/>
      <w:r w:rsidRPr="00EC2DB6">
        <w:rPr>
          <w:sz w:val="24"/>
          <w:szCs w:val="24"/>
        </w:rPr>
        <w:t xml:space="preserve">, “Beginnings of Westernization and Reform in the </w:t>
      </w:r>
      <w:proofErr w:type="spellStart"/>
      <w:r w:rsidRPr="00EC2DB6">
        <w:rPr>
          <w:sz w:val="24"/>
          <w:szCs w:val="24"/>
        </w:rPr>
        <w:t>Mellah</w:t>
      </w:r>
      <w:proofErr w:type="spellEnd"/>
      <w:r w:rsidRPr="00EC2DB6">
        <w:rPr>
          <w:sz w:val="24"/>
          <w:szCs w:val="24"/>
        </w:rPr>
        <w:t xml:space="preserve"> Fez (1913),”</w:t>
      </w:r>
      <w:r w:rsidR="00DD160E" w:rsidRPr="00EC2DB6">
        <w:rPr>
          <w:sz w:val="24"/>
          <w:szCs w:val="24"/>
        </w:rPr>
        <w:t xml:space="preserve"> in </w:t>
      </w:r>
      <w:r w:rsidR="00DD160E" w:rsidRPr="00EC2DB6">
        <w:rPr>
          <w:i/>
          <w:sz w:val="24"/>
          <w:szCs w:val="24"/>
        </w:rPr>
        <w:t>JMW</w:t>
      </w:r>
      <w:r w:rsidR="004E156F" w:rsidRPr="00EC2DB6">
        <w:rPr>
          <w:sz w:val="24"/>
          <w:szCs w:val="24"/>
        </w:rPr>
        <w:t>, 464.</w:t>
      </w:r>
    </w:p>
    <w:p w:rsidR="00D77913" w:rsidRPr="00EC2DB6" w:rsidRDefault="00E01F27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Albert Memmi, </w:t>
      </w:r>
      <w:r w:rsidRPr="00EC2DB6">
        <w:rPr>
          <w:i/>
          <w:sz w:val="24"/>
          <w:szCs w:val="24"/>
        </w:rPr>
        <w:t xml:space="preserve">The Pillar of Salt </w:t>
      </w:r>
      <w:r w:rsidRPr="00EC2DB6">
        <w:rPr>
          <w:sz w:val="24"/>
          <w:szCs w:val="24"/>
        </w:rPr>
        <w:t xml:space="preserve">(Boston: Beacon Press, 1992), 1-29, 93-103.   Originally published in French in 1955. </w:t>
      </w:r>
    </w:p>
    <w:p w:rsidR="00E01F27" w:rsidRPr="00EC2DB6" w:rsidRDefault="00E01F27">
      <w:pPr>
        <w:rPr>
          <w:sz w:val="24"/>
          <w:szCs w:val="24"/>
        </w:rPr>
      </w:pPr>
    </w:p>
    <w:p w:rsidR="006179AD" w:rsidRPr="00EC2DB6" w:rsidRDefault="008738F4">
      <w:pPr>
        <w:rPr>
          <w:sz w:val="24"/>
          <w:szCs w:val="24"/>
        </w:rPr>
      </w:pPr>
      <w:r w:rsidRPr="00EC2DB6">
        <w:rPr>
          <w:b/>
          <w:sz w:val="24"/>
          <w:szCs w:val="24"/>
        </w:rPr>
        <w:t>Week 5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Feb. 8</w:t>
      </w:r>
      <w:r w:rsidR="00EC2DB6">
        <w:rPr>
          <w:b/>
          <w:sz w:val="24"/>
          <w:szCs w:val="24"/>
        </w:rPr>
        <w:t>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A87B00" w:rsidRPr="00EC2DB6">
        <w:rPr>
          <w:b/>
          <w:sz w:val="24"/>
          <w:szCs w:val="24"/>
        </w:rPr>
        <w:t xml:space="preserve">The </w:t>
      </w:r>
      <w:r w:rsidR="000C49C2" w:rsidRPr="00EC2DB6">
        <w:rPr>
          <w:b/>
          <w:sz w:val="24"/>
          <w:szCs w:val="24"/>
        </w:rPr>
        <w:t>Shtetl</w:t>
      </w:r>
    </w:p>
    <w:p w:rsidR="008527BE" w:rsidRPr="00EC2DB6" w:rsidRDefault="008527B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Israel </w:t>
      </w:r>
      <w:proofErr w:type="spellStart"/>
      <w:r w:rsidRPr="00EC2DB6">
        <w:rPr>
          <w:sz w:val="24"/>
          <w:szCs w:val="24"/>
        </w:rPr>
        <w:t>Bartal</w:t>
      </w:r>
      <w:proofErr w:type="spellEnd"/>
      <w:r w:rsidRPr="00EC2DB6">
        <w:rPr>
          <w:sz w:val="24"/>
          <w:szCs w:val="24"/>
        </w:rPr>
        <w:t xml:space="preserve">, “Imagined Geography: The Shtetl, Myth and Reality,” in Steven T. Katz, ed., </w:t>
      </w:r>
      <w:r w:rsidRPr="00EC2DB6">
        <w:rPr>
          <w:i/>
          <w:sz w:val="24"/>
          <w:szCs w:val="24"/>
        </w:rPr>
        <w:t xml:space="preserve">The Shtetl: New Evaluations </w:t>
      </w:r>
      <w:r w:rsidRPr="00EC2DB6">
        <w:rPr>
          <w:sz w:val="24"/>
          <w:szCs w:val="24"/>
        </w:rPr>
        <w:t>(New York: NYU Press, 2007), 179-192.</w:t>
      </w:r>
    </w:p>
    <w:p w:rsidR="00C05917" w:rsidRPr="00EC2DB6" w:rsidRDefault="0088422A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Dan </w:t>
      </w:r>
      <w:proofErr w:type="spellStart"/>
      <w:r w:rsidRPr="00EC2DB6">
        <w:rPr>
          <w:sz w:val="24"/>
          <w:szCs w:val="24"/>
        </w:rPr>
        <w:t>Miron</w:t>
      </w:r>
      <w:proofErr w:type="spellEnd"/>
      <w:r w:rsidRPr="00EC2DB6">
        <w:rPr>
          <w:sz w:val="24"/>
          <w:szCs w:val="24"/>
        </w:rPr>
        <w:t xml:space="preserve">, “The Literary Image of the Shtetl,” </w:t>
      </w:r>
      <w:r w:rsidRPr="00EC2DB6">
        <w:rPr>
          <w:i/>
          <w:sz w:val="24"/>
          <w:szCs w:val="24"/>
        </w:rPr>
        <w:t>Jewish Social Studies</w:t>
      </w:r>
      <w:r w:rsidRPr="00EC2DB6">
        <w:rPr>
          <w:sz w:val="24"/>
          <w:szCs w:val="24"/>
        </w:rPr>
        <w:t>, New Series, Vol. 1, No. 3 (Spring 1995): 1- 43.</w:t>
      </w:r>
    </w:p>
    <w:p w:rsidR="00396044" w:rsidRPr="00EC2DB6" w:rsidRDefault="00396044">
      <w:pPr>
        <w:rPr>
          <w:sz w:val="24"/>
          <w:szCs w:val="24"/>
        </w:rPr>
      </w:pPr>
    </w:p>
    <w:p w:rsidR="008527BE" w:rsidRPr="00EC2DB6" w:rsidRDefault="008527B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Elie Wiesel, “The World of the Shtetl,” in Steven T. Katz, ed., </w:t>
      </w:r>
      <w:r w:rsidRPr="00EC2DB6">
        <w:rPr>
          <w:i/>
          <w:sz w:val="24"/>
          <w:szCs w:val="24"/>
        </w:rPr>
        <w:t>The Shtetl: New Evaluations</w:t>
      </w:r>
      <w:r w:rsidRPr="00EC2DB6">
        <w:rPr>
          <w:sz w:val="24"/>
          <w:szCs w:val="24"/>
        </w:rPr>
        <w:t>, 290-306.</w:t>
      </w:r>
    </w:p>
    <w:p w:rsidR="00C05917" w:rsidRPr="00EC2DB6" w:rsidRDefault="000C0739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Sholem</w:t>
      </w:r>
      <w:proofErr w:type="spellEnd"/>
      <w:r w:rsidRPr="00EC2DB6">
        <w:rPr>
          <w:sz w:val="24"/>
          <w:szCs w:val="24"/>
        </w:rPr>
        <w:t xml:space="preserve"> Aleiche</w:t>
      </w:r>
      <w:r w:rsidR="000C49C2" w:rsidRPr="00EC2DB6">
        <w:rPr>
          <w:sz w:val="24"/>
          <w:szCs w:val="24"/>
        </w:rPr>
        <w:t xml:space="preserve">m, “The Town of the Little People,” in </w:t>
      </w:r>
      <w:proofErr w:type="spellStart"/>
      <w:r w:rsidR="000C49C2" w:rsidRPr="00EC2DB6">
        <w:rPr>
          <w:sz w:val="24"/>
          <w:szCs w:val="24"/>
        </w:rPr>
        <w:t>Sholem</w:t>
      </w:r>
      <w:proofErr w:type="spellEnd"/>
      <w:r w:rsidR="000C49C2" w:rsidRPr="00EC2DB6">
        <w:rPr>
          <w:sz w:val="24"/>
          <w:szCs w:val="24"/>
        </w:rPr>
        <w:t xml:space="preserve"> Aleichem, </w:t>
      </w:r>
      <w:r w:rsidR="000C49C2" w:rsidRPr="00EC2DB6">
        <w:rPr>
          <w:i/>
          <w:sz w:val="24"/>
          <w:szCs w:val="24"/>
        </w:rPr>
        <w:t xml:space="preserve">The Old Country </w:t>
      </w:r>
      <w:r w:rsidR="000C49C2" w:rsidRPr="00EC2DB6">
        <w:rPr>
          <w:sz w:val="24"/>
          <w:szCs w:val="24"/>
        </w:rPr>
        <w:t>(</w:t>
      </w:r>
      <w:r w:rsidRPr="00EC2DB6">
        <w:rPr>
          <w:sz w:val="24"/>
          <w:szCs w:val="24"/>
        </w:rPr>
        <w:t>New York: Crown Publishers, 1946)</w:t>
      </w:r>
    </w:p>
    <w:p w:rsidR="00396044" w:rsidRPr="00EC2DB6" w:rsidRDefault="00396044">
      <w:pPr>
        <w:rPr>
          <w:sz w:val="24"/>
          <w:szCs w:val="24"/>
        </w:rPr>
      </w:pPr>
    </w:p>
    <w:p w:rsidR="00C05917" w:rsidRPr="00EC2DB6" w:rsidRDefault="008527B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FILM: </w:t>
      </w:r>
      <w:r w:rsidRPr="00EC2DB6">
        <w:rPr>
          <w:i/>
          <w:sz w:val="24"/>
          <w:szCs w:val="24"/>
        </w:rPr>
        <w:t>Fiddler on the Roof</w:t>
      </w:r>
      <w:r w:rsidRPr="00EC2DB6">
        <w:rPr>
          <w:sz w:val="24"/>
          <w:szCs w:val="24"/>
        </w:rPr>
        <w:t xml:space="preserve"> (1971),</w:t>
      </w:r>
      <w:r w:rsidR="003E2186" w:rsidRPr="00EC2DB6">
        <w:rPr>
          <w:sz w:val="24"/>
          <w:szCs w:val="24"/>
        </w:rPr>
        <w:t xml:space="preserve"> directed</w:t>
      </w:r>
      <w:r w:rsidRPr="00EC2DB6">
        <w:rPr>
          <w:sz w:val="24"/>
          <w:szCs w:val="24"/>
        </w:rPr>
        <w:t xml:space="preserve"> by Norman </w:t>
      </w:r>
      <w:proofErr w:type="spellStart"/>
      <w:r w:rsidRPr="00EC2DB6">
        <w:rPr>
          <w:sz w:val="24"/>
          <w:szCs w:val="24"/>
        </w:rPr>
        <w:t>Jewison</w:t>
      </w:r>
      <w:proofErr w:type="spellEnd"/>
      <w:r w:rsidRPr="00EC2DB6">
        <w:rPr>
          <w:sz w:val="24"/>
          <w:szCs w:val="24"/>
        </w:rPr>
        <w:t xml:space="preserve"> (selections)</w:t>
      </w:r>
    </w:p>
    <w:p w:rsidR="00A92AA7" w:rsidRPr="00EC2DB6" w:rsidRDefault="00A92AA7">
      <w:pPr>
        <w:rPr>
          <w:b/>
          <w:sz w:val="24"/>
          <w:szCs w:val="24"/>
        </w:rPr>
      </w:pPr>
    </w:p>
    <w:p w:rsidR="009808AF" w:rsidRPr="00EC2DB6" w:rsidRDefault="00D937B1">
      <w:pPr>
        <w:rPr>
          <w:sz w:val="24"/>
          <w:szCs w:val="24"/>
        </w:rPr>
      </w:pPr>
      <w:r w:rsidRPr="00EC2DB6">
        <w:rPr>
          <w:b/>
          <w:sz w:val="24"/>
          <w:szCs w:val="24"/>
        </w:rPr>
        <w:t>We</w:t>
      </w:r>
      <w:r w:rsidR="008738F4" w:rsidRPr="00EC2DB6">
        <w:rPr>
          <w:b/>
          <w:sz w:val="24"/>
          <w:szCs w:val="24"/>
        </w:rPr>
        <w:t>ek 6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Feb. 15</w:t>
      </w:r>
      <w:r w:rsidR="00EC2DB6">
        <w:rPr>
          <w:b/>
          <w:sz w:val="24"/>
          <w:szCs w:val="24"/>
        </w:rPr>
        <w:t>)</w:t>
      </w:r>
      <w:r w:rsidR="008738F4" w:rsidRPr="00EC2DB6">
        <w:rPr>
          <w:b/>
          <w:sz w:val="24"/>
          <w:szCs w:val="24"/>
        </w:rPr>
        <w:t>:</w:t>
      </w:r>
      <w:r w:rsidR="008738F4" w:rsidRPr="00EC2DB6">
        <w:rPr>
          <w:b/>
          <w:sz w:val="24"/>
          <w:szCs w:val="24"/>
        </w:rPr>
        <w:tab/>
      </w:r>
      <w:r w:rsidR="009808AF" w:rsidRPr="00EC2DB6">
        <w:rPr>
          <w:b/>
          <w:sz w:val="24"/>
          <w:szCs w:val="24"/>
        </w:rPr>
        <w:t xml:space="preserve">Urbanization and Assimilation </w:t>
      </w:r>
    </w:p>
    <w:p w:rsidR="008E627F" w:rsidRPr="00EC2DB6" w:rsidRDefault="009808AF">
      <w:pPr>
        <w:rPr>
          <w:sz w:val="24"/>
          <w:szCs w:val="24"/>
        </w:rPr>
      </w:pPr>
      <w:r w:rsidRPr="00EC2DB6">
        <w:rPr>
          <w:sz w:val="24"/>
          <w:szCs w:val="24"/>
        </w:rPr>
        <w:lastRenderedPageBreak/>
        <w:t xml:space="preserve">Steven M. Lowenstein, </w:t>
      </w:r>
      <w:r w:rsidR="008E627F" w:rsidRPr="00EC2DB6">
        <w:rPr>
          <w:sz w:val="24"/>
          <w:szCs w:val="24"/>
        </w:rPr>
        <w:t>“</w:t>
      </w:r>
      <w:r w:rsidRPr="00EC2DB6">
        <w:rPr>
          <w:sz w:val="24"/>
          <w:szCs w:val="24"/>
        </w:rPr>
        <w:t>Was Urbanization Harmful to Jewish Tradition and Identity in Germany?</w:t>
      </w:r>
      <w:r w:rsidR="008E627F" w:rsidRPr="00EC2DB6">
        <w:rPr>
          <w:sz w:val="24"/>
          <w:szCs w:val="24"/>
        </w:rPr>
        <w:t xml:space="preserve">” in Ezra Mendelsohn, ed., </w:t>
      </w:r>
      <w:r w:rsidR="008E627F" w:rsidRPr="00EC2DB6">
        <w:rPr>
          <w:i/>
          <w:sz w:val="24"/>
          <w:szCs w:val="24"/>
        </w:rPr>
        <w:t>People of the City: Jews and the Urban Challenge</w:t>
      </w:r>
      <w:r w:rsidR="008E627F" w:rsidRPr="00EC2DB6">
        <w:rPr>
          <w:sz w:val="24"/>
          <w:szCs w:val="24"/>
        </w:rPr>
        <w:t xml:space="preserve">. </w:t>
      </w:r>
      <w:r w:rsidR="008E627F" w:rsidRPr="00EC2DB6">
        <w:rPr>
          <w:i/>
          <w:sz w:val="24"/>
          <w:szCs w:val="24"/>
        </w:rPr>
        <w:t>Studies in Contemporary Jewry</w:t>
      </w:r>
      <w:r w:rsidR="008E627F" w:rsidRPr="00EC2DB6">
        <w:rPr>
          <w:sz w:val="24"/>
          <w:szCs w:val="24"/>
        </w:rPr>
        <w:t xml:space="preserve"> 15 (New York: OUP, 1999), 80-106.</w:t>
      </w:r>
    </w:p>
    <w:p w:rsidR="008E627F" w:rsidRPr="00EC2DB6" w:rsidRDefault="008E627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Marsha </w:t>
      </w:r>
      <w:proofErr w:type="spellStart"/>
      <w:r w:rsidRPr="00EC2DB6">
        <w:rPr>
          <w:sz w:val="24"/>
          <w:szCs w:val="24"/>
        </w:rPr>
        <w:t>Rozenblit</w:t>
      </w:r>
      <w:proofErr w:type="spellEnd"/>
      <w:r w:rsidRPr="00EC2DB6">
        <w:rPr>
          <w:sz w:val="24"/>
          <w:szCs w:val="24"/>
        </w:rPr>
        <w:t xml:space="preserve">, “Jewish Assimilation in Habsburg Vienna," in Jonathan Frankel and Steven J. </w:t>
      </w:r>
      <w:proofErr w:type="spellStart"/>
      <w:r w:rsidRPr="00EC2DB6">
        <w:rPr>
          <w:sz w:val="24"/>
          <w:szCs w:val="24"/>
        </w:rPr>
        <w:t>Zipperstein</w:t>
      </w:r>
      <w:proofErr w:type="spellEnd"/>
      <w:r w:rsidRPr="00EC2DB6">
        <w:rPr>
          <w:sz w:val="24"/>
          <w:szCs w:val="24"/>
        </w:rPr>
        <w:t xml:space="preserve">, eds., </w:t>
      </w:r>
      <w:r w:rsidRPr="00EC2DB6">
        <w:rPr>
          <w:i/>
          <w:sz w:val="24"/>
          <w:szCs w:val="24"/>
        </w:rPr>
        <w:t>Assimilation and Community: The Jews in Nineteenth-Century Europe</w:t>
      </w:r>
      <w:r w:rsidRPr="00EC2DB6">
        <w:rPr>
          <w:sz w:val="24"/>
          <w:szCs w:val="24"/>
        </w:rPr>
        <w:t xml:space="preserve"> (Cambridge: CUP, 1992) 225-245</w:t>
      </w:r>
      <w:r w:rsidR="00F06788" w:rsidRPr="00EC2DB6">
        <w:rPr>
          <w:sz w:val="24"/>
          <w:szCs w:val="24"/>
        </w:rPr>
        <w:t>.</w:t>
      </w:r>
    </w:p>
    <w:p w:rsidR="00D937B1" w:rsidRPr="00EC2DB6" w:rsidRDefault="00DD160E">
      <w:pPr>
        <w:rPr>
          <w:sz w:val="24"/>
          <w:szCs w:val="24"/>
        </w:rPr>
      </w:pPr>
      <w:r w:rsidRPr="00EC2DB6">
        <w:rPr>
          <w:sz w:val="24"/>
          <w:szCs w:val="24"/>
        </w:rPr>
        <w:t>Richard</w:t>
      </w:r>
      <w:r w:rsidR="00D937B1" w:rsidRPr="00EC2DB6">
        <w:rPr>
          <w:sz w:val="24"/>
          <w:szCs w:val="24"/>
        </w:rPr>
        <w:t xml:space="preserve"> I. Cohen, “Nostalgia and </w:t>
      </w:r>
      <w:r w:rsidR="002E7128" w:rsidRPr="00EC2DB6">
        <w:rPr>
          <w:sz w:val="24"/>
          <w:szCs w:val="24"/>
        </w:rPr>
        <w:t xml:space="preserve">‘Return to the Ghetto’: A Cultural Phenomenon in Western and Central Europe,” in </w:t>
      </w:r>
      <w:r w:rsidR="002E7128" w:rsidRPr="00EC2DB6">
        <w:rPr>
          <w:i/>
          <w:sz w:val="24"/>
          <w:szCs w:val="24"/>
        </w:rPr>
        <w:t>Assimilation and Community</w:t>
      </w:r>
      <w:r w:rsidR="002E7128" w:rsidRPr="00EC2DB6">
        <w:rPr>
          <w:sz w:val="24"/>
          <w:szCs w:val="24"/>
        </w:rPr>
        <w:t>, 130-155.</w:t>
      </w:r>
    </w:p>
    <w:p w:rsidR="00432BAC" w:rsidRPr="00EC2DB6" w:rsidRDefault="00432BAC">
      <w:pPr>
        <w:rPr>
          <w:sz w:val="24"/>
          <w:szCs w:val="24"/>
        </w:rPr>
      </w:pPr>
    </w:p>
    <w:p w:rsidR="00F06788" w:rsidRPr="00EC2DB6" w:rsidRDefault="00F0678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Franz Kafka, “My Father’s Bourgeois Judaism (1919),” in </w:t>
      </w:r>
      <w:r w:rsidR="00DD160E" w:rsidRPr="00EC2DB6">
        <w:rPr>
          <w:i/>
          <w:sz w:val="24"/>
          <w:szCs w:val="24"/>
        </w:rPr>
        <w:t>JMW</w:t>
      </w:r>
      <w:r w:rsidR="00432BAC" w:rsidRPr="00EC2DB6">
        <w:rPr>
          <w:sz w:val="24"/>
          <w:szCs w:val="24"/>
        </w:rPr>
        <w:t>, 800-801.</w:t>
      </w:r>
    </w:p>
    <w:p w:rsidR="009808AF" w:rsidRPr="00EC2DB6" w:rsidRDefault="009808A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Arthur </w:t>
      </w:r>
      <w:proofErr w:type="spellStart"/>
      <w:r w:rsidRPr="00EC2DB6">
        <w:rPr>
          <w:sz w:val="24"/>
          <w:szCs w:val="24"/>
        </w:rPr>
        <w:t>Ruppin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>The Jews of Today</w:t>
      </w:r>
      <w:r w:rsidRPr="00EC2DB6">
        <w:rPr>
          <w:sz w:val="24"/>
          <w:szCs w:val="24"/>
        </w:rPr>
        <w:t xml:space="preserve"> (London: G. Bell and Sons, 1913), 98-105</w:t>
      </w:r>
    </w:p>
    <w:p w:rsidR="009808AF" w:rsidRPr="00EC2DB6" w:rsidRDefault="009808A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Arthur </w:t>
      </w:r>
      <w:proofErr w:type="spellStart"/>
      <w:r w:rsidRPr="00EC2DB6">
        <w:rPr>
          <w:sz w:val="24"/>
          <w:szCs w:val="24"/>
        </w:rPr>
        <w:t>Ruppin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 xml:space="preserve">The Jewish Fate and the Future </w:t>
      </w:r>
      <w:r w:rsidRPr="00EC2DB6">
        <w:rPr>
          <w:sz w:val="24"/>
          <w:szCs w:val="24"/>
        </w:rPr>
        <w:t>(Macmillan and Co., 1940), 61-73.</w:t>
      </w:r>
    </w:p>
    <w:p w:rsidR="00EC2DB6" w:rsidRDefault="00EC2DB6">
      <w:pPr>
        <w:rPr>
          <w:b/>
          <w:sz w:val="24"/>
          <w:szCs w:val="24"/>
        </w:rPr>
      </w:pPr>
    </w:p>
    <w:p w:rsidR="00EC2DB6" w:rsidRDefault="00EC2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7 (</w:t>
      </w:r>
      <w:r w:rsidR="009B3C2C">
        <w:rPr>
          <w:b/>
          <w:sz w:val="24"/>
          <w:szCs w:val="24"/>
        </w:rPr>
        <w:t>Feb</w:t>
      </w:r>
      <w:r>
        <w:rPr>
          <w:b/>
          <w:sz w:val="24"/>
          <w:szCs w:val="24"/>
        </w:rPr>
        <w:t>. 2</w:t>
      </w:r>
      <w:r w:rsidR="009B3C2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No Class (National Holiday)</w:t>
      </w:r>
    </w:p>
    <w:p w:rsidR="00EC2DB6" w:rsidRDefault="00EC2DB6">
      <w:pPr>
        <w:rPr>
          <w:b/>
          <w:sz w:val="24"/>
          <w:szCs w:val="24"/>
        </w:rPr>
      </w:pPr>
    </w:p>
    <w:p w:rsidR="00EC2DB6" w:rsidRPr="00EC2DB6" w:rsidRDefault="00EC2DB6">
      <w:pPr>
        <w:rPr>
          <w:b/>
          <w:color w:val="FF0000"/>
          <w:sz w:val="28"/>
          <w:szCs w:val="28"/>
        </w:rPr>
      </w:pPr>
      <w:r w:rsidRPr="00EC2DB6">
        <w:rPr>
          <w:b/>
          <w:color w:val="FF0000"/>
          <w:sz w:val="28"/>
          <w:szCs w:val="28"/>
        </w:rPr>
        <w:t xml:space="preserve">Book Review Due: Friday, </w:t>
      </w:r>
      <w:r w:rsidR="009B3C2C">
        <w:rPr>
          <w:b/>
          <w:color w:val="FF0000"/>
          <w:sz w:val="28"/>
          <w:szCs w:val="28"/>
        </w:rPr>
        <w:t>February</w:t>
      </w:r>
      <w:r w:rsidRPr="00EC2DB6">
        <w:rPr>
          <w:b/>
          <w:color w:val="FF0000"/>
          <w:sz w:val="28"/>
          <w:szCs w:val="28"/>
        </w:rPr>
        <w:t xml:space="preserve"> 2</w:t>
      </w:r>
      <w:r w:rsidR="009B3C2C">
        <w:rPr>
          <w:b/>
          <w:color w:val="FF0000"/>
          <w:sz w:val="28"/>
          <w:szCs w:val="28"/>
        </w:rPr>
        <w:t>6</w:t>
      </w:r>
      <w:r w:rsidR="009166E1">
        <w:rPr>
          <w:b/>
          <w:color w:val="FF0000"/>
          <w:sz w:val="28"/>
          <w:szCs w:val="28"/>
        </w:rPr>
        <w:t>, 20</w:t>
      </w:r>
      <w:r w:rsidR="009B3C2C">
        <w:rPr>
          <w:b/>
          <w:color w:val="FF0000"/>
          <w:sz w:val="28"/>
          <w:szCs w:val="28"/>
        </w:rPr>
        <w:t>21</w:t>
      </w:r>
    </w:p>
    <w:p w:rsidR="00EC2DB6" w:rsidRPr="00EC2DB6" w:rsidRDefault="00EC2DB6">
      <w:pPr>
        <w:rPr>
          <w:b/>
          <w:sz w:val="24"/>
          <w:szCs w:val="24"/>
        </w:rPr>
      </w:pPr>
    </w:p>
    <w:p w:rsidR="008E1B68" w:rsidRPr="00EC2DB6" w:rsidRDefault="00EC2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8 (</w:t>
      </w:r>
      <w:r w:rsidR="009B3C2C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 w:rsidR="009B3C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="008E1B68" w:rsidRPr="00EC2DB6">
        <w:rPr>
          <w:b/>
          <w:sz w:val="24"/>
          <w:szCs w:val="24"/>
        </w:rPr>
        <w:t>:</w:t>
      </w:r>
      <w:r w:rsidR="00E31B00" w:rsidRPr="00EC2DB6">
        <w:rPr>
          <w:b/>
          <w:sz w:val="24"/>
          <w:szCs w:val="24"/>
        </w:rPr>
        <w:tab/>
      </w:r>
      <w:proofErr w:type="spellStart"/>
      <w:r w:rsidR="00E31B00" w:rsidRPr="00EC2DB6">
        <w:rPr>
          <w:b/>
          <w:sz w:val="24"/>
          <w:szCs w:val="24"/>
        </w:rPr>
        <w:t>Urbaphobia</w:t>
      </w:r>
      <w:proofErr w:type="spellEnd"/>
      <w:r w:rsidR="00E31B00" w:rsidRPr="00EC2DB6">
        <w:rPr>
          <w:b/>
          <w:sz w:val="24"/>
          <w:szCs w:val="24"/>
        </w:rPr>
        <w:t xml:space="preserve"> and Judeophobia</w:t>
      </w:r>
    </w:p>
    <w:p w:rsidR="008E1B68" w:rsidRPr="00EC2DB6" w:rsidRDefault="008E1B68" w:rsidP="008E1B6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Hillel Kieval, “Antisemitism and the City: A Beginner’s Guide,” in Ezra Mendelsohn, ed., </w:t>
      </w:r>
      <w:r w:rsidRPr="00EC2DB6">
        <w:rPr>
          <w:i/>
          <w:sz w:val="24"/>
          <w:szCs w:val="24"/>
        </w:rPr>
        <w:t>People of the City: Jews and the Urban Challenge</w:t>
      </w:r>
      <w:r w:rsidRPr="00EC2DB6">
        <w:rPr>
          <w:sz w:val="24"/>
          <w:szCs w:val="24"/>
        </w:rPr>
        <w:t xml:space="preserve">. </w:t>
      </w:r>
      <w:r w:rsidRPr="00EC2DB6">
        <w:rPr>
          <w:i/>
          <w:sz w:val="24"/>
          <w:szCs w:val="24"/>
        </w:rPr>
        <w:t>Studies in Contemporary Jewry</w:t>
      </w:r>
      <w:r w:rsidRPr="00EC2DB6">
        <w:rPr>
          <w:sz w:val="24"/>
          <w:szCs w:val="24"/>
        </w:rPr>
        <w:t xml:space="preserve"> 15 (New York: OUP, 1999), 3-18.</w:t>
      </w:r>
    </w:p>
    <w:p w:rsidR="00DD160E" w:rsidRPr="00EC2DB6" w:rsidRDefault="00DD160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Judith R. </w:t>
      </w:r>
      <w:proofErr w:type="spellStart"/>
      <w:r w:rsidRPr="00EC2DB6">
        <w:rPr>
          <w:sz w:val="24"/>
          <w:szCs w:val="24"/>
        </w:rPr>
        <w:t>Walkowitz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>The City of Dreadful Delight: Narratives of Sexual Danger in Late-Victorian London</w:t>
      </w:r>
      <w:r w:rsidRPr="00EC2DB6">
        <w:rPr>
          <w:sz w:val="24"/>
          <w:szCs w:val="24"/>
        </w:rPr>
        <w:t xml:space="preserve"> (Chicago: University of Chicago Press, 1992), 1-13, 41-80.</w:t>
      </w:r>
    </w:p>
    <w:p w:rsidR="00F45D2D" w:rsidRPr="00EC2DB6" w:rsidRDefault="008E1B6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Sander Gilman, </w:t>
      </w:r>
      <w:r w:rsidRPr="00EC2DB6">
        <w:rPr>
          <w:i/>
          <w:sz w:val="24"/>
          <w:szCs w:val="24"/>
        </w:rPr>
        <w:t xml:space="preserve">The Jew’s Body </w:t>
      </w:r>
      <w:r w:rsidRPr="00EC2DB6">
        <w:rPr>
          <w:sz w:val="24"/>
          <w:szCs w:val="24"/>
        </w:rPr>
        <w:t xml:space="preserve">(New York: Routledge, 1991), </w:t>
      </w:r>
      <w:r w:rsidR="00DD160E" w:rsidRPr="00EC2DB6">
        <w:rPr>
          <w:sz w:val="24"/>
          <w:szCs w:val="24"/>
        </w:rPr>
        <w:t xml:space="preserve">Chapter 4 (“The Jewish Murderer: Jack the Ripper, Race, and Gender”), </w:t>
      </w:r>
      <w:r w:rsidRPr="00EC2DB6">
        <w:rPr>
          <w:sz w:val="24"/>
          <w:szCs w:val="24"/>
        </w:rPr>
        <w:t>104-127.</w:t>
      </w:r>
    </w:p>
    <w:p w:rsidR="008E1B68" w:rsidRPr="00EC2DB6" w:rsidRDefault="008E1B68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Max Nordau, </w:t>
      </w:r>
      <w:r w:rsidRPr="00EC2DB6">
        <w:rPr>
          <w:i/>
          <w:sz w:val="24"/>
          <w:szCs w:val="24"/>
        </w:rPr>
        <w:t xml:space="preserve">Degeneration </w:t>
      </w:r>
      <w:r w:rsidRPr="00EC2DB6">
        <w:rPr>
          <w:sz w:val="24"/>
          <w:szCs w:val="24"/>
        </w:rPr>
        <w:t>(New York: Appleton and Co., 1905), selections</w:t>
      </w:r>
    </w:p>
    <w:p w:rsidR="00DD160E" w:rsidRPr="00EC2DB6" w:rsidRDefault="00DD160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Max Nordau, “Jewry of Muscle,” in </w:t>
      </w:r>
      <w:r w:rsidRPr="00EC2DB6">
        <w:rPr>
          <w:i/>
          <w:sz w:val="24"/>
          <w:szCs w:val="24"/>
        </w:rPr>
        <w:t>JMW</w:t>
      </w:r>
      <w:r w:rsidR="00E31B00" w:rsidRPr="00EC2DB6">
        <w:rPr>
          <w:sz w:val="24"/>
          <w:szCs w:val="24"/>
        </w:rPr>
        <w:t>, 547-548.</w:t>
      </w:r>
    </w:p>
    <w:p w:rsidR="008E1B68" w:rsidRPr="00EC2DB6" w:rsidRDefault="008E1B68">
      <w:pPr>
        <w:rPr>
          <w:sz w:val="24"/>
          <w:szCs w:val="24"/>
        </w:rPr>
      </w:pPr>
    </w:p>
    <w:p w:rsidR="000C49C2" w:rsidRPr="00EC2DB6" w:rsidRDefault="00EC2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9 (</w:t>
      </w:r>
      <w:r w:rsidR="009B3C2C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 w:rsidR="009B3C2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 w:rsidR="008738F4" w:rsidRPr="00EC2DB6">
        <w:rPr>
          <w:b/>
          <w:sz w:val="24"/>
          <w:szCs w:val="24"/>
        </w:rPr>
        <w:t>:</w:t>
      </w:r>
      <w:r w:rsidR="008738F4" w:rsidRPr="00EC2DB6">
        <w:rPr>
          <w:b/>
          <w:sz w:val="24"/>
          <w:szCs w:val="24"/>
        </w:rPr>
        <w:tab/>
      </w:r>
      <w:r w:rsidR="000A78D3" w:rsidRPr="00EC2DB6">
        <w:rPr>
          <w:b/>
          <w:sz w:val="24"/>
          <w:szCs w:val="24"/>
        </w:rPr>
        <w:t>Sites of Urban ‘Jewishness’</w:t>
      </w:r>
    </w:p>
    <w:p w:rsidR="008738F4" w:rsidRPr="00EC2DB6" w:rsidRDefault="008738F4" w:rsidP="008738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C2DB6">
        <w:rPr>
          <w:b/>
          <w:sz w:val="24"/>
          <w:szCs w:val="24"/>
        </w:rPr>
        <w:t xml:space="preserve">The Coffeehouse </w:t>
      </w:r>
    </w:p>
    <w:p w:rsidR="006179AD" w:rsidRPr="00EC2DB6" w:rsidRDefault="006179AD">
      <w:pPr>
        <w:rPr>
          <w:sz w:val="24"/>
          <w:szCs w:val="24"/>
        </w:rPr>
      </w:pPr>
      <w:r w:rsidRPr="00EC2DB6">
        <w:rPr>
          <w:sz w:val="24"/>
          <w:szCs w:val="24"/>
        </w:rPr>
        <w:lastRenderedPageBreak/>
        <w:t xml:space="preserve">Steven </w:t>
      </w:r>
      <w:proofErr w:type="spellStart"/>
      <w:r w:rsidRPr="00EC2DB6">
        <w:rPr>
          <w:sz w:val="24"/>
          <w:szCs w:val="24"/>
        </w:rPr>
        <w:t>Beller</w:t>
      </w:r>
      <w:proofErr w:type="spellEnd"/>
      <w:r w:rsidRPr="00EC2DB6">
        <w:rPr>
          <w:sz w:val="24"/>
          <w:szCs w:val="24"/>
        </w:rPr>
        <w:t xml:space="preserve">, “’The Jews Belongs in the Coffeehouse’ – Jews, Central Europe and Modernity,” in Charles Ashby et al., eds., </w:t>
      </w:r>
      <w:r w:rsidRPr="00EC2DB6">
        <w:rPr>
          <w:i/>
          <w:sz w:val="24"/>
          <w:szCs w:val="24"/>
        </w:rPr>
        <w:t xml:space="preserve">The Viennese Café and Fin-de-Siècle Culture </w:t>
      </w:r>
      <w:r w:rsidRPr="00EC2DB6">
        <w:rPr>
          <w:sz w:val="24"/>
          <w:szCs w:val="24"/>
        </w:rPr>
        <w:t xml:space="preserve">(New York: </w:t>
      </w:r>
      <w:proofErr w:type="spellStart"/>
      <w:r w:rsidRPr="00EC2DB6">
        <w:rPr>
          <w:sz w:val="24"/>
          <w:szCs w:val="24"/>
        </w:rPr>
        <w:t>Berghan</w:t>
      </w:r>
      <w:proofErr w:type="spellEnd"/>
      <w:r w:rsidRPr="00EC2DB6">
        <w:rPr>
          <w:sz w:val="24"/>
          <w:szCs w:val="24"/>
        </w:rPr>
        <w:t xml:space="preserve"> Books, 2013), 50-58.</w:t>
      </w:r>
    </w:p>
    <w:p w:rsidR="006179AD" w:rsidRPr="00EC2DB6" w:rsidRDefault="006179AD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Francesca Bregoli, </w:t>
      </w:r>
      <w:r w:rsidRPr="00EC2DB6">
        <w:rPr>
          <w:i/>
          <w:sz w:val="24"/>
          <w:szCs w:val="24"/>
        </w:rPr>
        <w:t xml:space="preserve">Mediterranean Enlightenment: </w:t>
      </w:r>
      <w:proofErr w:type="spellStart"/>
      <w:r w:rsidRPr="00EC2DB6">
        <w:rPr>
          <w:i/>
          <w:sz w:val="24"/>
          <w:szCs w:val="24"/>
        </w:rPr>
        <w:t>Livornese</w:t>
      </w:r>
      <w:proofErr w:type="spellEnd"/>
      <w:r w:rsidRPr="00EC2DB6">
        <w:rPr>
          <w:i/>
          <w:sz w:val="24"/>
          <w:szCs w:val="24"/>
        </w:rPr>
        <w:t xml:space="preserve"> Jews, Tuscan Culture, and Eighteenth-Century Reform</w:t>
      </w:r>
      <w:r w:rsidRPr="00EC2DB6">
        <w:rPr>
          <w:sz w:val="24"/>
          <w:szCs w:val="24"/>
        </w:rPr>
        <w:t xml:space="preserve"> (Stanford: SUP, 2014), Chapter 6 (“Coffee and Gambling: Jewish Recreation and ‘National’ Separation”), 152-180.</w:t>
      </w:r>
    </w:p>
    <w:p w:rsidR="006179AD" w:rsidRPr="00EC2DB6" w:rsidRDefault="006179AD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Scott </w:t>
      </w:r>
      <w:proofErr w:type="spellStart"/>
      <w:r w:rsidRPr="00EC2DB6">
        <w:rPr>
          <w:sz w:val="24"/>
          <w:szCs w:val="24"/>
        </w:rPr>
        <w:t>Ury</w:t>
      </w:r>
      <w:proofErr w:type="spellEnd"/>
      <w:r w:rsidRPr="00EC2DB6">
        <w:rPr>
          <w:sz w:val="24"/>
          <w:szCs w:val="24"/>
        </w:rPr>
        <w:t xml:space="preserve">, “In </w:t>
      </w:r>
      <w:proofErr w:type="spellStart"/>
      <w:r w:rsidRPr="00EC2DB6">
        <w:rPr>
          <w:sz w:val="24"/>
          <w:szCs w:val="24"/>
        </w:rPr>
        <w:t>Kotik’s</w:t>
      </w:r>
      <w:proofErr w:type="spellEnd"/>
      <w:r w:rsidRPr="00EC2DB6">
        <w:rPr>
          <w:sz w:val="24"/>
          <w:szCs w:val="24"/>
        </w:rPr>
        <w:t xml:space="preserve"> Corner: Urban Culture, Bourgeois Politics and the Struggle for Jewish Civility in Turn of the Century Eastern Europe,” in Glenn </w:t>
      </w:r>
      <w:proofErr w:type="spellStart"/>
      <w:r w:rsidRPr="00EC2DB6">
        <w:rPr>
          <w:sz w:val="24"/>
          <w:szCs w:val="24"/>
        </w:rPr>
        <w:t>Dyner</w:t>
      </w:r>
      <w:proofErr w:type="spellEnd"/>
      <w:r w:rsidRPr="00EC2DB6">
        <w:rPr>
          <w:sz w:val="24"/>
          <w:szCs w:val="24"/>
        </w:rPr>
        <w:t xml:space="preserve"> and François </w:t>
      </w:r>
      <w:proofErr w:type="spellStart"/>
      <w:r w:rsidRPr="00EC2DB6">
        <w:rPr>
          <w:sz w:val="24"/>
          <w:szCs w:val="24"/>
        </w:rPr>
        <w:t>Guesnet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>Warsaw. The Jewish Metropolis. Essays in Honor of the 75</w:t>
      </w:r>
      <w:r w:rsidRPr="00EC2DB6">
        <w:rPr>
          <w:i/>
          <w:sz w:val="24"/>
          <w:szCs w:val="24"/>
          <w:vertAlign w:val="superscript"/>
        </w:rPr>
        <w:t>th</w:t>
      </w:r>
      <w:r w:rsidRPr="00EC2DB6">
        <w:rPr>
          <w:i/>
          <w:sz w:val="24"/>
          <w:szCs w:val="24"/>
        </w:rPr>
        <w:t xml:space="preserve"> Birthda</w:t>
      </w:r>
      <w:r w:rsidR="00C05917" w:rsidRPr="00EC2DB6">
        <w:rPr>
          <w:i/>
          <w:sz w:val="24"/>
          <w:szCs w:val="24"/>
        </w:rPr>
        <w:t xml:space="preserve">y of Professor Antony Polonsky </w:t>
      </w:r>
      <w:r w:rsidR="00C05917" w:rsidRPr="00EC2DB6">
        <w:rPr>
          <w:sz w:val="24"/>
          <w:szCs w:val="24"/>
        </w:rPr>
        <w:t>(Leiden: Brill, 2015), 207-226.</w:t>
      </w:r>
    </w:p>
    <w:p w:rsidR="00396044" w:rsidRPr="00EC2DB6" w:rsidRDefault="00396044">
      <w:pPr>
        <w:rPr>
          <w:sz w:val="24"/>
          <w:szCs w:val="24"/>
        </w:rPr>
      </w:pPr>
    </w:p>
    <w:p w:rsidR="00C05917" w:rsidRPr="00EC2DB6" w:rsidRDefault="00C05917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Theodor Herzl, </w:t>
      </w:r>
      <w:r w:rsidRPr="00EC2DB6">
        <w:rPr>
          <w:i/>
          <w:sz w:val="24"/>
          <w:szCs w:val="24"/>
        </w:rPr>
        <w:t>Old New Land</w:t>
      </w:r>
      <w:r w:rsidRPr="00EC2DB6">
        <w:rPr>
          <w:sz w:val="24"/>
          <w:szCs w:val="24"/>
        </w:rPr>
        <w:t xml:space="preserve"> (1902), Chapter 1.</w:t>
      </w:r>
    </w:p>
    <w:p w:rsidR="00C05917" w:rsidRPr="00EC2DB6" w:rsidRDefault="00C05917">
      <w:pPr>
        <w:rPr>
          <w:sz w:val="24"/>
          <w:szCs w:val="24"/>
        </w:rPr>
      </w:pPr>
    </w:p>
    <w:p w:rsidR="00D77913" w:rsidRPr="00EC2DB6" w:rsidRDefault="00D77913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SUGGESTED READING: </w:t>
      </w:r>
    </w:p>
    <w:p w:rsidR="00151BF3" w:rsidRPr="00EC2DB6" w:rsidRDefault="00151BF3" w:rsidP="00151BF3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Sarah </w:t>
      </w:r>
      <w:proofErr w:type="spellStart"/>
      <w:r w:rsidRPr="00EC2DB6">
        <w:rPr>
          <w:sz w:val="24"/>
          <w:szCs w:val="24"/>
        </w:rPr>
        <w:t>Wobick-Segev</w:t>
      </w:r>
      <w:proofErr w:type="spellEnd"/>
      <w:r w:rsidRPr="00EC2DB6">
        <w:rPr>
          <w:sz w:val="24"/>
          <w:szCs w:val="24"/>
        </w:rPr>
        <w:t xml:space="preserve">, “Buying, Selling, Being, Drinking: Jewish Coffeehouse Consumption in the Long Nineteenth Century,” in Gideon </w:t>
      </w:r>
      <w:proofErr w:type="spellStart"/>
      <w:r w:rsidRPr="00EC2DB6">
        <w:rPr>
          <w:sz w:val="24"/>
          <w:szCs w:val="24"/>
        </w:rPr>
        <w:t>Reuveni</w:t>
      </w:r>
      <w:proofErr w:type="spellEnd"/>
      <w:r w:rsidRPr="00EC2DB6">
        <w:rPr>
          <w:sz w:val="24"/>
          <w:szCs w:val="24"/>
        </w:rPr>
        <w:t xml:space="preserve"> and Sarah </w:t>
      </w:r>
      <w:proofErr w:type="spellStart"/>
      <w:r w:rsidRPr="00EC2DB6">
        <w:rPr>
          <w:sz w:val="24"/>
          <w:szCs w:val="24"/>
        </w:rPr>
        <w:t>Wobick-Segev</w:t>
      </w:r>
      <w:proofErr w:type="spellEnd"/>
      <w:r w:rsidRPr="00EC2DB6">
        <w:rPr>
          <w:sz w:val="24"/>
          <w:szCs w:val="24"/>
        </w:rPr>
        <w:t xml:space="preserve">, eds., </w:t>
      </w:r>
      <w:r w:rsidRPr="00EC2DB6">
        <w:rPr>
          <w:i/>
          <w:sz w:val="24"/>
          <w:szCs w:val="24"/>
        </w:rPr>
        <w:t xml:space="preserve">Economy in Jewish History: New Perspectives on the Interrelationship between Ethnicity and Economic Life </w:t>
      </w:r>
      <w:r w:rsidRPr="00EC2DB6">
        <w:rPr>
          <w:sz w:val="24"/>
          <w:szCs w:val="24"/>
        </w:rPr>
        <w:t xml:space="preserve">(New York: </w:t>
      </w:r>
      <w:proofErr w:type="spellStart"/>
      <w:r w:rsidRPr="00EC2DB6">
        <w:rPr>
          <w:sz w:val="24"/>
          <w:szCs w:val="24"/>
        </w:rPr>
        <w:t>Berghan</w:t>
      </w:r>
      <w:proofErr w:type="spellEnd"/>
      <w:r w:rsidRPr="00EC2DB6">
        <w:rPr>
          <w:sz w:val="24"/>
          <w:szCs w:val="24"/>
        </w:rPr>
        <w:t xml:space="preserve"> Books, 2011), 115-134.</w:t>
      </w:r>
    </w:p>
    <w:p w:rsidR="00D77913" w:rsidRPr="00EC2DB6" w:rsidRDefault="00D77913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John M. </w:t>
      </w:r>
      <w:proofErr w:type="spellStart"/>
      <w:r w:rsidRPr="00EC2DB6">
        <w:rPr>
          <w:sz w:val="24"/>
          <w:szCs w:val="24"/>
        </w:rPr>
        <w:t>Efron</w:t>
      </w:r>
      <w:proofErr w:type="spellEnd"/>
      <w:r w:rsidRPr="00EC2DB6">
        <w:rPr>
          <w:sz w:val="24"/>
          <w:szCs w:val="24"/>
        </w:rPr>
        <w:t>, “The ‘</w:t>
      </w:r>
      <w:proofErr w:type="spellStart"/>
      <w:r w:rsidRPr="00EC2DB6">
        <w:rPr>
          <w:sz w:val="24"/>
          <w:szCs w:val="24"/>
        </w:rPr>
        <w:t>Kaftanjude</w:t>
      </w:r>
      <w:proofErr w:type="spellEnd"/>
      <w:r w:rsidRPr="00EC2DB6">
        <w:rPr>
          <w:sz w:val="24"/>
          <w:szCs w:val="24"/>
        </w:rPr>
        <w:t>’ and the “</w:t>
      </w:r>
      <w:proofErr w:type="spellStart"/>
      <w:r w:rsidRPr="00EC2DB6">
        <w:rPr>
          <w:sz w:val="24"/>
          <w:szCs w:val="24"/>
        </w:rPr>
        <w:t>Kaffeehausjude</w:t>
      </w:r>
      <w:proofErr w:type="spellEnd"/>
      <w:r w:rsidRPr="00EC2DB6">
        <w:rPr>
          <w:sz w:val="24"/>
          <w:szCs w:val="24"/>
        </w:rPr>
        <w:t xml:space="preserve">’: Two Models of Jewish Insanity. A Discussion of Causes and Cures among German –Jewish Psychiatrists,” </w:t>
      </w:r>
      <w:r w:rsidRPr="00EC2DB6">
        <w:rPr>
          <w:i/>
          <w:sz w:val="24"/>
          <w:szCs w:val="24"/>
        </w:rPr>
        <w:t xml:space="preserve">Leo </w:t>
      </w:r>
      <w:proofErr w:type="spellStart"/>
      <w:r w:rsidRPr="00EC2DB6">
        <w:rPr>
          <w:i/>
          <w:sz w:val="24"/>
          <w:szCs w:val="24"/>
        </w:rPr>
        <w:t>Baeck</w:t>
      </w:r>
      <w:proofErr w:type="spellEnd"/>
      <w:r w:rsidRPr="00EC2DB6">
        <w:rPr>
          <w:i/>
          <w:sz w:val="24"/>
          <w:szCs w:val="24"/>
        </w:rPr>
        <w:t xml:space="preserve"> Institute Yearbook</w:t>
      </w:r>
      <w:r w:rsidRPr="00EC2DB6">
        <w:rPr>
          <w:sz w:val="24"/>
          <w:szCs w:val="24"/>
        </w:rPr>
        <w:t>, Vol. 37 (1992): 169-188.</w:t>
      </w:r>
    </w:p>
    <w:p w:rsidR="007F37BA" w:rsidRPr="00EC2DB6" w:rsidRDefault="007F37BA">
      <w:pPr>
        <w:rPr>
          <w:b/>
          <w:sz w:val="24"/>
          <w:szCs w:val="24"/>
        </w:rPr>
      </w:pPr>
    </w:p>
    <w:p w:rsidR="00D77913" w:rsidRPr="00EC2DB6" w:rsidRDefault="007F37BA" w:rsidP="008738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C2DB6">
        <w:rPr>
          <w:b/>
          <w:sz w:val="24"/>
          <w:szCs w:val="24"/>
        </w:rPr>
        <w:t>The Department Store</w:t>
      </w:r>
    </w:p>
    <w:p w:rsidR="007F37BA" w:rsidRPr="00EC2DB6" w:rsidRDefault="007F37BA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Paul Lerner, </w:t>
      </w:r>
      <w:r w:rsidRPr="00EC2DB6">
        <w:rPr>
          <w:i/>
          <w:sz w:val="24"/>
          <w:szCs w:val="24"/>
        </w:rPr>
        <w:t xml:space="preserve">The Consuming Temple: Jews, Department Stores, and the Consumer Revolution in Germany, 1880-1940 </w:t>
      </w:r>
      <w:r w:rsidRPr="00EC2DB6">
        <w:rPr>
          <w:sz w:val="24"/>
          <w:szCs w:val="24"/>
        </w:rPr>
        <w:t>(Ithaca: Cornell University Press, 2015), 21-55.</w:t>
      </w:r>
    </w:p>
    <w:p w:rsidR="007F37BA" w:rsidRPr="00EC2DB6" w:rsidRDefault="007F37BA">
      <w:pPr>
        <w:rPr>
          <w:sz w:val="24"/>
          <w:szCs w:val="24"/>
        </w:rPr>
      </w:pPr>
    </w:p>
    <w:p w:rsidR="007F37BA" w:rsidRPr="00EC2DB6" w:rsidRDefault="007F37BA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Theodor Herzl, </w:t>
      </w:r>
      <w:r w:rsidRPr="00EC2DB6">
        <w:rPr>
          <w:i/>
          <w:sz w:val="24"/>
          <w:szCs w:val="24"/>
        </w:rPr>
        <w:t>Old New Land</w:t>
      </w:r>
      <w:r w:rsidRPr="00EC2DB6">
        <w:rPr>
          <w:sz w:val="24"/>
          <w:szCs w:val="24"/>
        </w:rPr>
        <w:t xml:space="preserve"> </w:t>
      </w:r>
      <w:r w:rsidR="00BC200E" w:rsidRPr="00EC2DB6">
        <w:rPr>
          <w:sz w:val="24"/>
          <w:szCs w:val="24"/>
        </w:rPr>
        <w:t xml:space="preserve">(1902), </w:t>
      </w:r>
      <w:r w:rsidR="004D33D7" w:rsidRPr="00EC2DB6">
        <w:rPr>
          <w:sz w:val="24"/>
          <w:szCs w:val="24"/>
        </w:rPr>
        <w:t>95-102.</w:t>
      </w:r>
    </w:p>
    <w:p w:rsidR="000517FC" w:rsidRPr="00EC2DB6" w:rsidRDefault="000517FC">
      <w:pPr>
        <w:rPr>
          <w:sz w:val="24"/>
          <w:szCs w:val="24"/>
        </w:rPr>
      </w:pPr>
    </w:p>
    <w:p w:rsidR="00AF6D2C" w:rsidRPr="00EC2DB6" w:rsidRDefault="00AF6D2C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F. </w:t>
      </w:r>
      <w:proofErr w:type="spellStart"/>
      <w:r w:rsidRPr="00EC2DB6">
        <w:rPr>
          <w:sz w:val="24"/>
          <w:szCs w:val="24"/>
        </w:rPr>
        <w:t>Roderich-Stoltheim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>The Riddle of the Jew’s Success</w:t>
      </w:r>
      <w:r w:rsidR="00A92AA7" w:rsidRPr="00EC2DB6">
        <w:rPr>
          <w:i/>
          <w:sz w:val="24"/>
          <w:szCs w:val="24"/>
        </w:rPr>
        <w:t xml:space="preserve"> </w:t>
      </w:r>
      <w:r w:rsidR="00A92AA7" w:rsidRPr="00EC2DB6">
        <w:rPr>
          <w:sz w:val="24"/>
          <w:szCs w:val="24"/>
        </w:rPr>
        <w:t>(1927)</w:t>
      </w:r>
      <w:r w:rsidRPr="00EC2DB6">
        <w:rPr>
          <w:sz w:val="24"/>
          <w:szCs w:val="24"/>
        </w:rPr>
        <w:t>, 5-9, 120-140.</w:t>
      </w:r>
    </w:p>
    <w:p w:rsidR="00454426" w:rsidRPr="00EC2DB6" w:rsidRDefault="00454426">
      <w:pPr>
        <w:rPr>
          <w:sz w:val="24"/>
          <w:szCs w:val="24"/>
        </w:rPr>
      </w:pPr>
    </w:p>
    <w:p w:rsidR="00454426" w:rsidRPr="00EC2DB6" w:rsidRDefault="008738F4" w:rsidP="00454426">
      <w:pPr>
        <w:rPr>
          <w:b/>
          <w:sz w:val="24"/>
          <w:szCs w:val="24"/>
        </w:rPr>
      </w:pPr>
      <w:r w:rsidRPr="00EC2DB6">
        <w:rPr>
          <w:b/>
          <w:sz w:val="24"/>
          <w:szCs w:val="24"/>
        </w:rPr>
        <w:t xml:space="preserve">Week </w:t>
      </w:r>
      <w:r w:rsidR="00962094">
        <w:rPr>
          <w:b/>
          <w:sz w:val="24"/>
          <w:szCs w:val="24"/>
        </w:rPr>
        <w:t>10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March</w:t>
      </w:r>
      <w:r w:rsidR="00EC2DB6">
        <w:rPr>
          <w:b/>
          <w:sz w:val="24"/>
          <w:szCs w:val="24"/>
        </w:rPr>
        <w:t xml:space="preserve"> 1</w:t>
      </w:r>
      <w:r w:rsidR="009B3C2C">
        <w:rPr>
          <w:b/>
          <w:sz w:val="24"/>
          <w:szCs w:val="24"/>
        </w:rPr>
        <w:t>5</w:t>
      </w:r>
      <w:r w:rsidR="00EC2DB6">
        <w:rPr>
          <w:b/>
          <w:sz w:val="24"/>
          <w:szCs w:val="24"/>
        </w:rPr>
        <w:t>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454426" w:rsidRPr="00EC2DB6">
        <w:rPr>
          <w:b/>
          <w:sz w:val="24"/>
          <w:szCs w:val="24"/>
        </w:rPr>
        <w:t>Budapest: ‘</w:t>
      </w:r>
      <w:proofErr w:type="spellStart"/>
      <w:r w:rsidR="00454426" w:rsidRPr="00EC2DB6">
        <w:rPr>
          <w:b/>
          <w:sz w:val="24"/>
          <w:szCs w:val="24"/>
        </w:rPr>
        <w:t>Judapest</w:t>
      </w:r>
      <w:proofErr w:type="spellEnd"/>
      <w:r w:rsidR="00454426" w:rsidRPr="00EC2DB6">
        <w:rPr>
          <w:b/>
          <w:sz w:val="24"/>
          <w:szCs w:val="24"/>
        </w:rPr>
        <w:t>’</w:t>
      </w:r>
    </w:p>
    <w:p w:rsidR="00454426" w:rsidRPr="00EC2DB6" w:rsidRDefault="00454426" w:rsidP="00454426">
      <w:pPr>
        <w:rPr>
          <w:sz w:val="24"/>
          <w:szCs w:val="24"/>
        </w:rPr>
      </w:pPr>
      <w:r w:rsidRPr="00EC2DB6">
        <w:rPr>
          <w:sz w:val="24"/>
          <w:szCs w:val="24"/>
        </w:rPr>
        <w:lastRenderedPageBreak/>
        <w:t xml:space="preserve">Fredric </w:t>
      </w:r>
      <w:proofErr w:type="spellStart"/>
      <w:r w:rsidRPr="00EC2DB6">
        <w:rPr>
          <w:sz w:val="24"/>
          <w:szCs w:val="24"/>
        </w:rPr>
        <w:t>Bedoire</w:t>
      </w:r>
      <w:proofErr w:type="spellEnd"/>
      <w:r w:rsidRPr="00EC2DB6">
        <w:rPr>
          <w:sz w:val="24"/>
          <w:szCs w:val="24"/>
        </w:rPr>
        <w:t>, “Budapest-</w:t>
      </w:r>
      <w:proofErr w:type="spellStart"/>
      <w:r w:rsidRPr="00EC2DB6">
        <w:rPr>
          <w:sz w:val="24"/>
          <w:szCs w:val="24"/>
        </w:rPr>
        <w:t>Judapest</w:t>
      </w:r>
      <w:proofErr w:type="spellEnd"/>
      <w:r w:rsidRPr="00EC2DB6">
        <w:rPr>
          <w:sz w:val="24"/>
          <w:szCs w:val="24"/>
        </w:rPr>
        <w:t xml:space="preserve">,” in </w:t>
      </w:r>
      <w:r w:rsidRPr="00EC2DB6">
        <w:rPr>
          <w:i/>
          <w:sz w:val="24"/>
          <w:szCs w:val="24"/>
        </w:rPr>
        <w:t xml:space="preserve">The Jewish Contribution to Modern Architecture 1830-1930 </w:t>
      </w:r>
      <w:r w:rsidRPr="00EC2DB6">
        <w:rPr>
          <w:sz w:val="24"/>
          <w:szCs w:val="24"/>
        </w:rPr>
        <w:t>(Stockholm: KTAV, 2004), 344-375.</w:t>
      </w:r>
    </w:p>
    <w:p w:rsidR="00454426" w:rsidRPr="00EC2DB6" w:rsidRDefault="00454426" w:rsidP="00454426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Mary Gluck, “The Budapest Flaneur: Urban Modernity, Popular Culture, and the ‘Jewish Question’ in Fin-de-Siècle Hungary,” </w:t>
      </w:r>
      <w:r w:rsidRPr="00EC2DB6">
        <w:rPr>
          <w:i/>
          <w:sz w:val="24"/>
          <w:szCs w:val="24"/>
        </w:rPr>
        <w:t>Jewish Social Studies</w:t>
      </w:r>
      <w:r w:rsidRPr="00EC2DB6">
        <w:rPr>
          <w:sz w:val="24"/>
          <w:szCs w:val="24"/>
        </w:rPr>
        <w:t>, Vol. 10, No. 3 (Spring/Summer 2004), 1-22.</w:t>
      </w:r>
    </w:p>
    <w:p w:rsidR="00454426" w:rsidRPr="00EC2DB6" w:rsidRDefault="00454426" w:rsidP="00454426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Kati </w:t>
      </w:r>
      <w:proofErr w:type="spellStart"/>
      <w:r w:rsidRPr="00EC2DB6">
        <w:rPr>
          <w:sz w:val="24"/>
          <w:szCs w:val="24"/>
        </w:rPr>
        <w:t>Vörös</w:t>
      </w:r>
      <w:proofErr w:type="spellEnd"/>
      <w:r w:rsidRPr="00EC2DB6">
        <w:rPr>
          <w:sz w:val="24"/>
          <w:szCs w:val="24"/>
        </w:rPr>
        <w:t xml:space="preserve">, “How Jewish is Jewish Budapest?” </w:t>
      </w:r>
      <w:r w:rsidRPr="00EC2DB6">
        <w:rPr>
          <w:i/>
          <w:sz w:val="24"/>
          <w:szCs w:val="24"/>
        </w:rPr>
        <w:t>Jewish Social Studies</w:t>
      </w:r>
      <w:r w:rsidRPr="00EC2DB6">
        <w:rPr>
          <w:sz w:val="24"/>
          <w:szCs w:val="24"/>
        </w:rPr>
        <w:t>, Vol. 8, No. 1 (Fall 2001), 88-125.</w:t>
      </w:r>
    </w:p>
    <w:p w:rsidR="00454426" w:rsidRPr="00EC2DB6" w:rsidRDefault="00454426" w:rsidP="00454426">
      <w:pPr>
        <w:rPr>
          <w:sz w:val="24"/>
          <w:szCs w:val="24"/>
        </w:rPr>
      </w:pPr>
    </w:p>
    <w:p w:rsidR="00454426" w:rsidRPr="00EC2DB6" w:rsidRDefault="00454426" w:rsidP="00454426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Endre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Ady</w:t>
      </w:r>
      <w:proofErr w:type="spellEnd"/>
      <w:r w:rsidRPr="00EC2DB6">
        <w:rPr>
          <w:sz w:val="24"/>
          <w:szCs w:val="24"/>
        </w:rPr>
        <w:t>, “</w:t>
      </w:r>
      <w:proofErr w:type="spellStart"/>
      <w:r w:rsidRPr="00EC2DB6">
        <w:rPr>
          <w:sz w:val="24"/>
          <w:szCs w:val="24"/>
        </w:rPr>
        <w:t>Korrobori</w:t>
      </w:r>
      <w:proofErr w:type="spellEnd"/>
      <w:r w:rsidRPr="00EC2DB6">
        <w:rPr>
          <w:sz w:val="24"/>
          <w:szCs w:val="24"/>
        </w:rPr>
        <w:t>” (written in 1917, published in 1924)</w:t>
      </w:r>
    </w:p>
    <w:p w:rsidR="00454426" w:rsidRPr="00EC2DB6" w:rsidRDefault="00454426" w:rsidP="00454426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Dezs</w:t>
      </w:r>
      <w:proofErr w:type="spellEnd"/>
      <w:r w:rsidRPr="00EC2DB6">
        <w:rPr>
          <w:sz w:val="24"/>
          <w:szCs w:val="24"/>
          <w:lang w:val="hu-HU"/>
        </w:rPr>
        <w:t xml:space="preserve">ő Szabó, </w:t>
      </w:r>
      <w:r w:rsidRPr="00EC2DB6">
        <w:rPr>
          <w:sz w:val="24"/>
          <w:szCs w:val="24"/>
        </w:rPr>
        <w:t>“Recapturing Budapest” (1921)</w:t>
      </w:r>
    </w:p>
    <w:p w:rsidR="00454426" w:rsidRPr="00EC2DB6" w:rsidRDefault="00454426" w:rsidP="00454426">
      <w:pPr>
        <w:rPr>
          <w:sz w:val="24"/>
          <w:szCs w:val="24"/>
        </w:rPr>
      </w:pPr>
    </w:p>
    <w:p w:rsidR="00454426" w:rsidRPr="00EC2DB6" w:rsidRDefault="00454426" w:rsidP="00454426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SUGGESTED READING: </w:t>
      </w:r>
    </w:p>
    <w:p w:rsidR="00454426" w:rsidRPr="00EC2DB6" w:rsidRDefault="00454426" w:rsidP="00454426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Miklós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Konrád</w:t>
      </w:r>
      <w:proofErr w:type="spellEnd"/>
      <w:r w:rsidRPr="00EC2DB6">
        <w:rPr>
          <w:sz w:val="24"/>
          <w:szCs w:val="24"/>
        </w:rPr>
        <w:t xml:space="preserve">, “Music Halls and Jewish Identities in Budapest at the Turn of the Century,” in </w:t>
      </w:r>
      <w:proofErr w:type="spellStart"/>
      <w:r w:rsidRPr="00EC2DB6">
        <w:rPr>
          <w:sz w:val="24"/>
          <w:szCs w:val="24"/>
        </w:rPr>
        <w:t>Jurgita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Šiaučiūnaitė-Verbickienė</w:t>
      </w:r>
      <w:proofErr w:type="spellEnd"/>
      <w:r w:rsidRPr="00EC2DB6">
        <w:rPr>
          <w:sz w:val="24"/>
          <w:szCs w:val="24"/>
        </w:rPr>
        <w:t xml:space="preserve"> and Larisa </w:t>
      </w:r>
      <w:proofErr w:type="spellStart"/>
      <w:r w:rsidRPr="00EC2DB6">
        <w:rPr>
          <w:sz w:val="24"/>
          <w:szCs w:val="24"/>
        </w:rPr>
        <w:t>Lempertienė</w:t>
      </w:r>
      <w:proofErr w:type="spellEnd"/>
      <w:r w:rsidRPr="00EC2DB6">
        <w:rPr>
          <w:sz w:val="24"/>
          <w:szCs w:val="24"/>
        </w:rPr>
        <w:t>, eds.,</w:t>
      </w:r>
      <w:r w:rsidRPr="00EC2DB6">
        <w:rPr>
          <w:i/>
          <w:sz w:val="24"/>
          <w:szCs w:val="24"/>
        </w:rPr>
        <w:t xml:space="preserve"> Jewish Space in Central and Eastern Europe: Day-to-Day History</w:t>
      </w:r>
      <w:r w:rsidRPr="00EC2DB6">
        <w:rPr>
          <w:sz w:val="24"/>
          <w:szCs w:val="24"/>
        </w:rPr>
        <w:t xml:space="preserve"> (Newcastle: Cambridge Scholars Publishing, 2007), 143-156.</w:t>
      </w:r>
    </w:p>
    <w:p w:rsidR="009A5035" w:rsidRPr="00EC2DB6" w:rsidRDefault="009A5035">
      <w:pPr>
        <w:rPr>
          <w:sz w:val="24"/>
          <w:szCs w:val="24"/>
        </w:rPr>
      </w:pPr>
    </w:p>
    <w:p w:rsidR="00682275" w:rsidRPr="00EC2DB6" w:rsidRDefault="008738F4">
      <w:pPr>
        <w:rPr>
          <w:sz w:val="24"/>
          <w:szCs w:val="24"/>
        </w:rPr>
      </w:pPr>
      <w:r w:rsidRPr="00EC2DB6">
        <w:rPr>
          <w:b/>
          <w:sz w:val="24"/>
          <w:szCs w:val="24"/>
        </w:rPr>
        <w:t>Week 1</w:t>
      </w:r>
      <w:r w:rsidR="00962094">
        <w:rPr>
          <w:b/>
          <w:sz w:val="24"/>
          <w:szCs w:val="24"/>
        </w:rPr>
        <w:t>1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March</w:t>
      </w:r>
      <w:r w:rsidR="00EC2DB6">
        <w:rPr>
          <w:b/>
          <w:sz w:val="24"/>
          <w:szCs w:val="24"/>
        </w:rPr>
        <w:t xml:space="preserve"> 2</w:t>
      </w:r>
      <w:r w:rsidR="009B3C2C">
        <w:rPr>
          <w:b/>
          <w:sz w:val="24"/>
          <w:szCs w:val="24"/>
        </w:rPr>
        <w:t>2</w:t>
      </w:r>
      <w:r w:rsidR="00EC2DB6">
        <w:rPr>
          <w:b/>
          <w:sz w:val="24"/>
          <w:szCs w:val="24"/>
        </w:rPr>
        <w:t>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682275" w:rsidRPr="00EC2DB6">
        <w:rPr>
          <w:b/>
          <w:sz w:val="24"/>
          <w:szCs w:val="24"/>
        </w:rPr>
        <w:t>New York</w:t>
      </w:r>
      <w:r w:rsidR="009808AF" w:rsidRPr="00EC2DB6">
        <w:rPr>
          <w:b/>
          <w:sz w:val="24"/>
          <w:szCs w:val="24"/>
        </w:rPr>
        <w:t>: The Promised City</w:t>
      </w: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Moses </w:t>
      </w:r>
      <w:proofErr w:type="spellStart"/>
      <w:r w:rsidRPr="00EC2DB6">
        <w:rPr>
          <w:sz w:val="24"/>
          <w:szCs w:val="24"/>
        </w:rPr>
        <w:t>Rischin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>The Promised City: New York’s Jews, 1870-1914</w:t>
      </w:r>
      <w:r w:rsidRPr="00EC2DB6">
        <w:rPr>
          <w:sz w:val="24"/>
          <w:szCs w:val="24"/>
        </w:rPr>
        <w:t xml:space="preserve"> (Cambridge: Harvard University Press, 1962), 76-94, 144-168, 258-267.</w:t>
      </w: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Eli </w:t>
      </w:r>
      <w:proofErr w:type="spellStart"/>
      <w:r w:rsidRPr="00EC2DB6">
        <w:rPr>
          <w:sz w:val="24"/>
          <w:szCs w:val="24"/>
        </w:rPr>
        <w:t>Lederhendler</w:t>
      </w:r>
      <w:proofErr w:type="spellEnd"/>
      <w:r w:rsidRPr="00EC2DB6">
        <w:rPr>
          <w:sz w:val="24"/>
          <w:szCs w:val="24"/>
        </w:rPr>
        <w:t xml:space="preserve">, “New York City, the Jews, and the ‘Urban Experience’,” in Ezra Mendelsohn, ed., </w:t>
      </w:r>
      <w:r w:rsidRPr="00EC2DB6">
        <w:rPr>
          <w:i/>
          <w:sz w:val="24"/>
          <w:szCs w:val="24"/>
        </w:rPr>
        <w:t>People of the City: Jews and the Urban Challenge</w:t>
      </w:r>
      <w:r w:rsidRPr="00EC2DB6">
        <w:rPr>
          <w:sz w:val="24"/>
          <w:szCs w:val="24"/>
        </w:rPr>
        <w:t xml:space="preserve">. </w:t>
      </w:r>
      <w:r w:rsidRPr="00EC2DB6">
        <w:rPr>
          <w:i/>
          <w:sz w:val="24"/>
          <w:szCs w:val="24"/>
        </w:rPr>
        <w:t>Studies in Contemporary Jewry</w:t>
      </w:r>
      <w:r w:rsidRPr="00EC2DB6">
        <w:rPr>
          <w:sz w:val="24"/>
          <w:szCs w:val="24"/>
        </w:rPr>
        <w:t xml:space="preserve"> 15 (New York: OUP, 1999), 49-67.</w:t>
      </w:r>
    </w:p>
    <w:p w:rsidR="00682275" w:rsidRPr="00EC2DB6" w:rsidRDefault="00682275">
      <w:pPr>
        <w:rPr>
          <w:sz w:val="24"/>
          <w:szCs w:val="24"/>
        </w:rPr>
      </w:pP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Isaac M. </w:t>
      </w:r>
      <w:proofErr w:type="spellStart"/>
      <w:r w:rsidRPr="00EC2DB6">
        <w:rPr>
          <w:sz w:val="24"/>
          <w:szCs w:val="24"/>
        </w:rPr>
        <w:t>Rubinow</w:t>
      </w:r>
      <w:proofErr w:type="spellEnd"/>
      <w:r w:rsidRPr="00EC2DB6">
        <w:rPr>
          <w:sz w:val="24"/>
          <w:szCs w:val="24"/>
        </w:rPr>
        <w:t xml:space="preserve">, “The Economic Condition of the Russian Jew in New York City (1905),” in </w:t>
      </w:r>
      <w:r w:rsidR="00DD160E" w:rsidRPr="00EC2DB6">
        <w:rPr>
          <w:i/>
          <w:sz w:val="24"/>
          <w:szCs w:val="24"/>
        </w:rPr>
        <w:t>JMW</w:t>
      </w:r>
      <w:r w:rsidRPr="00EC2DB6">
        <w:rPr>
          <w:sz w:val="24"/>
          <w:szCs w:val="24"/>
        </w:rPr>
        <w:t>, 541-542.</w:t>
      </w: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Morris Rosenfeld, “The Sweatshop,” in Irving Howe et al., eds., </w:t>
      </w:r>
      <w:r w:rsidRPr="00EC2DB6">
        <w:rPr>
          <w:i/>
          <w:sz w:val="24"/>
          <w:szCs w:val="24"/>
        </w:rPr>
        <w:t xml:space="preserve">The Penguin Book of Modern Yiddish Verse </w:t>
      </w:r>
      <w:r w:rsidRPr="00EC2DB6">
        <w:rPr>
          <w:sz w:val="24"/>
          <w:szCs w:val="24"/>
        </w:rPr>
        <w:t>(New York: Viking, 1987), 84-85.</w:t>
      </w:r>
    </w:p>
    <w:p w:rsidR="00A73EAC" w:rsidRPr="00EC2DB6" w:rsidRDefault="00116B3F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Abraham </w:t>
      </w:r>
      <w:proofErr w:type="spellStart"/>
      <w:r w:rsidR="000A0C10" w:rsidRPr="00EC2DB6">
        <w:rPr>
          <w:sz w:val="24"/>
          <w:szCs w:val="24"/>
        </w:rPr>
        <w:t>Cahan</w:t>
      </w:r>
      <w:proofErr w:type="spellEnd"/>
      <w:r w:rsidR="000A0C10" w:rsidRPr="00EC2DB6">
        <w:rPr>
          <w:sz w:val="24"/>
          <w:szCs w:val="24"/>
        </w:rPr>
        <w:t xml:space="preserve">, </w:t>
      </w:r>
      <w:proofErr w:type="spellStart"/>
      <w:r w:rsidR="000A0C10" w:rsidRPr="00EC2DB6">
        <w:rPr>
          <w:i/>
          <w:sz w:val="24"/>
          <w:szCs w:val="24"/>
        </w:rPr>
        <w:t>Yekl</w:t>
      </w:r>
      <w:proofErr w:type="spellEnd"/>
      <w:r w:rsidR="000A0C10" w:rsidRPr="00EC2DB6">
        <w:rPr>
          <w:i/>
          <w:sz w:val="24"/>
          <w:szCs w:val="24"/>
        </w:rPr>
        <w:t>: A Tale of the New York Ghetto</w:t>
      </w:r>
      <w:r w:rsidR="000A0C10" w:rsidRPr="00EC2DB6">
        <w:rPr>
          <w:sz w:val="24"/>
          <w:szCs w:val="24"/>
        </w:rPr>
        <w:t xml:space="preserve"> (New York: D. Appleton, 1896).</w:t>
      </w: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FILM: </w:t>
      </w:r>
      <w:r w:rsidRPr="00EC2DB6">
        <w:rPr>
          <w:i/>
          <w:sz w:val="24"/>
          <w:szCs w:val="24"/>
        </w:rPr>
        <w:t xml:space="preserve">Hester Street </w:t>
      </w:r>
      <w:r w:rsidRPr="00EC2DB6">
        <w:rPr>
          <w:sz w:val="24"/>
          <w:szCs w:val="24"/>
        </w:rPr>
        <w:t xml:space="preserve">(1975), directed by Joan </w:t>
      </w:r>
      <w:proofErr w:type="spellStart"/>
      <w:r w:rsidRPr="00EC2DB6">
        <w:rPr>
          <w:sz w:val="24"/>
          <w:szCs w:val="24"/>
        </w:rPr>
        <w:t>Micklin</w:t>
      </w:r>
      <w:proofErr w:type="spellEnd"/>
      <w:r w:rsidRPr="00EC2DB6">
        <w:rPr>
          <w:sz w:val="24"/>
          <w:szCs w:val="24"/>
        </w:rPr>
        <w:t xml:space="preserve"> Silver</w:t>
      </w:r>
    </w:p>
    <w:p w:rsidR="00682275" w:rsidRPr="00EC2DB6" w:rsidRDefault="00682275">
      <w:pPr>
        <w:rPr>
          <w:sz w:val="24"/>
          <w:szCs w:val="24"/>
        </w:rPr>
      </w:pPr>
    </w:p>
    <w:p w:rsidR="008527BE" w:rsidRPr="00EC2DB6" w:rsidRDefault="008738F4">
      <w:pPr>
        <w:rPr>
          <w:sz w:val="24"/>
          <w:szCs w:val="24"/>
        </w:rPr>
      </w:pPr>
      <w:r w:rsidRPr="00EC2DB6">
        <w:rPr>
          <w:b/>
          <w:sz w:val="24"/>
          <w:szCs w:val="24"/>
        </w:rPr>
        <w:t>Week 1</w:t>
      </w:r>
      <w:r w:rsidR="00962094">
        <w:rPr>
          <w:b/>
          <w:sz w:val="24"/>
          <w:szCs w:val="24"/>
        </w:rPr>
        <w:t>2</w:t>
      </w:r>
      <w:r w:rsidR="00EC2DB6">
        <w:rPr>
          <w:b/>
          <w:sz w:val="24"/>
          <w:szCs w:val="24"/>
        </w:rPr>
        <w:t xml:space="preserve"> (</w:t>
      </w:r>
      <w:r w:rsidR="009B3C2C">
        <w:rPr>
          <w:b/>
          <w:sz w:val="24"/>
          <w:szCs w:val="24"/>
        </w:rPr>
        <w:t>March 29</w:t>
      </w:r>
      <w:r w:rsidR="00EC2DB6">
        <w:rPr>
          <w:b/>
          <w:sz w:val="24"/>
          <w:szCs w:val="24"/>
        </w:rPr>
        <w:t>)</w:t>
      </w:r>
      <w:r w:rsidRPr="00EC2DB6">
        <w:rPr>
          <w:b/>
          <w:sz w:val="24"/>
          <w:szCs w:val="24"/>
        </w:rPr>
        <w:t>:</w:t>
      </w:r>
      <w:r w:rsidRPr="00EC2DB6">
        <w:rPr>
          <w:b/>
          <w:sz w:val="24"/>
          <w:szCs w:val="24"/>
        </w:rPr>
        <w:tab/>
      </w:r>
      <w:r w:rsidR="008527BE" w:rsidRPr="00EC2DB6">
        <w:rPr>
          <w:b/>
          <w:sz w:val="24"/>
          <w:szCs w:val="24"/>
        </w:rPr>
        <w:t>Tel Aviv</w:t>
      </w:r>
      <w:r w:rsidR="009808AF" w:rsidRPr="00EC2DB6">
        <w:rPr>
          <w:b/>
          <w:sz w:val="24"/>
          <w:szCs w:val="24"/>
        </w:rPr>
        <w:t>: The Hebrew City</w:t>
      </w:r>
    </w:p>
    <w:p w:rsidR="00454426" w:rsidRPr="00EC2DB6" w:rsidRDefault="00454426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lastRenderedPageBreak/>
        <w:t>Ilan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Troen</w:t>
      </w:r>
      <w:proofErr w:type="spellEnd"/>
      <w:r w:rsidRPr="00EC2DB6">
        <w:rPr>
          <w:sz w:val="24"/>
          <w:szCs w:val="24"/>
        </w:rPr>
        <w:t xml:space="preserve">, </w:t>
      </w:r>
      <w:r w:rsidRPr="00EC2DB6">
        <w:rPr>
          <w:i/>
          <w:sz w:val="24"/>
          <w:szCs w:val="24"/>
        </w:rPr>
        <w:t xml:space="preserve">Imagining Zion: Dreams, Designs, and Realities in a Century of Jewish Settlement </w:t>
      </w:r>
      <w:r w:rsidRPr="00EC2DB6">
        <w:rPr>
          <w:sz w:val="24"/>
          <w:szCs w:val="24"/>
        </w:rPr>
        <w:t>(New Haven: Yale University Press, 2003), 3-14, 85-140.</w:t>
      </w:r>
    </w:p>
    <w:p w:rsidR="005377EA" w:rsidRPr="00EC2DB6" w:rsidRDefault="005377EA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Anat</w:t>
      </w:r>
      <w:proofErr w:type="spellEnd"/>
      <w:r w:rsidRPr="00EC2DB6">
        <w:rPr>
          <w:sz w:val="24"/>
          <w:szCs w:val="24"/>
        </w:rPr>
        <w:t xml:space="preserve"> Helman, “Was There Anything Particularly Jewish about ‘The First Hebrew City’?” in Barbara </w:t>
      </w:r>
      <w:proofErr w:type="spellStart"/>
      <w:r w:rsidRPr="00EC2DB6">
        <w:rPr>
          <w:sz w:val="24"/>
          <w:szCs w:val="24"/>
        </w:rPr>
        <w:t>Kirschenblatt-Gimblett</w:t>
      </w:r>
      <w:proofErr w:type="spellEnd"/>
      <w:r w:rsidRPr="00EC2DB6">
        <w:rPr>
          <w:sz w:val="24"/>
          <w:szCs w:val="24"/>
        </w:rPr>
        <w:t xml:space="preserve"> and Jonathan Karp, eds., </w:t>
      </w:r>
      <w:r w:rsidRPr="00EC2DB6">
        <w:rPr>
          <w:i/>
          <w:sz w:val="24"/>
          <w:szCs w:val="24"/>
        </w:rPr>
        <w:t xml:space="preserve">The Art of Being Jewish in Modern Times </w:t>
      </w:r>
      <w:r w:rsidRPr="00EC2DB6">
        <w:rPr>
          <w:sz w:val="24"/>
          <w:szCs w:val="24"/>
        </w:rPr>
        <w:t>(Philadelphia: University of Pennsylvania Press, 2008), 116-127.</w:t>
      </w:r>
    </w:p>
    <w:p w:rsidR="00243A11" w:rsidRPr="00EC2DB6" w:rsidRDefault="00243A11">
      <w:pPr>
        <w:rPr>
          <w:sz w:val="24"/>
          <w:szCs w:val="24"/>
        </w:rPr>
      </w:pPr>
      <w:proofErr w:type="spellStart"/>
      <w:r w:rsidRPr="00EC2DB6">
        <w:rPr>
          <w:sz w:val="24"/>
          <w:szCs w:val="24"/>
        </w:rPr>
        <w:t>Hizky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Shoham</w:t>
      </w:r>
      <w:proofErr w:type="spellEnd"/>
      <w:r w:rsidRPr="00EC2DB6">
        <w:rPr>
          <w:sz w:val="24"/>
          <w:szCs w:val="24"/>
        </w:rPr>
        <w:t xml:space="preserve">, "Tel-Aviv's Foundation Myth: A Constructive Perspective,” in </w:t>
      </w:r>
      <w:proofErr w:type="spellStart"/>
      <w:r w:rsidRPr="00EC2DB6">
        <w:rPr>
          <w:sz w:val="24"/>
          <w:szCs w:val="24"/>
        </w:rPr>
        <w:t>Maoz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Azaryahu</w:t>
      </w:r>
      <w:proofErr w:type="spellEnd"/>
      <w:r w:rsidRPr="00EC2DB6">
        <w:rPr>
          <w:sz w:val="24"/>
          <w:szCs w:val="24"/>
        </w:rPr>
        <w:t xml:space="preserve"> and S. </w:t>
      </w:r>
      <w:proofErr w:type="spellStart"/>
      <w:r w:rsidRPr="00EC2DB6">
        <w:rPr>
          <w:sz w:val="24"/>
          <w:szCs w:val="24"/>
        </w:rPr>
        <w:t>Ilan</w:t>
      </w:r>
      <w:proofErr w:type="spellEnd"/>
      <w:r w:rsidRPr="00EC2DB6">
        <w:rPr>
          <w:sz w:val="24"/>
          <w:szCs w:val="24"/>
        </w:rPr>
        <w:t xml:space="preserve"> </w:t>
      </w:r>
      <w:proofErr w:type="spellStart"/>
      <w:r w:rsidRPr="00EC2DB6">
        <w:rPr>
          <w:sz w:val="24"/>
          <w:szCs w:val="24"/>
        </w:rPr>
        <w:t>Troen</w:t>
      </w:r>
      <w:proofErr w:type="spellEnd"/>
      <w:r w:rsidRPr="00EC2DB6">
        <w:rPr>
          <w:sz w:val="24"/>
          <w:szCs w:val="24"/>
        </w:rPr>
        <w:t xml:space="preserve">, eds., </w:t>
      </w:r>
      <w:r w:rsidRPr="00EC2DB6">
        <w:rPr>
          <w:i/>
          <w:sz w:val="24"/>
          <w:szCs w:val="24"/>
        </w:rPr>
        <w:t>Tel-Aviv: The First Century</w:t>
      </w:r>
      <w:r w:rsidRPr="00EC2DB6">
        <w:rPr>
          <w:sz w:val="24"/>
          <w:szCs w:val="24"/>
        </w:rPr>
        <w:t xml:space="preserve"> (Indiana University Press, 2012), 34-59.</w:t>
      </w:r>
    </w:p>
    <w:p w:rsidR="00396044" w:rsidRPr="00EC2DB6" w:rsidRDefault="00396044">
      <w:pPr>
        <w:rPr>
          <w:sz w:val="24"/>
          <w:szCs w:val="24"/>
        </w:rPr>
      </w:pPr>
    </w:p>
    <w:p w:rsidR="008527BE" w:rsidRPr="00EC2DB6" w:rsidRDefault="008527BE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Ludwig </w:t>
      </w:r>
      <w:proofErr w:type="spellStart"/>
      <w:r w:rsidRPr="00EC2DB6">
        <w:rPr>
          <w:sz w:val="24"/>
          <w:szCs w:val="24"/>
        </w:rPr>
        <w:t>Levinsohn</w:t>
      </w:r>
      <w:proofErr w:type="spellEnd"/>
      <w:r w:rsidRPr="00EC2DB6">
        <w:rPr>
          <w:sz w:val="24"/>
          <w:szCs w:val="24"/>
        </w:rPr>
        <w:t xml:space="preserve">, “A City Unlike New York,” </w:t>
      </w:r>
      <w:r w:rsidRPr="00EC2DB6">
        <w:rPr>
          <w:i/>
          <w:sz w:val="24"/>
          <w:szCs w:val="24"/>
        </w:rPr>
        <w:t xml:space="preserve">Menorah Journal </w:t>
      </w:r>
      <w:r w:rsidRPr="00EC2DB6">
        <w:rPr>
          <w:sz w:val="24"/>
          <w:szCs w:val="24"/>
        </w:rPr>
        <w:t>11 (April 1925): 167-172.</w:t>
      </w:r>
    </w:p>
    <w:p w:rsidR="00FF2994" w:rsidRPr="00EC2DB6" w:rsidRDefault="00FF2994">
      <w:pPr>
        <w:rPr>
          <w:sz w:val="24"/>
          <w:szCs w:val="24"/>
        </w:rPr>
      </w:pPr>
    </w:p>
    <w:p w:rsidR="00FF2994" w:rsidRPr="00EC2DB6" w:rsidRDefault="00FF2994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FILM: </w:t>
      </w:r>
      <w:r w:rsidRPr="00EC2DB6">
        <w:rPr>
          <w:i/>
          <w:sz w:val="24"/>
          <w:szCs w:val="24"/>
        </w:rPr>
        <w:t xml:space="preserve">The White City </w:t>
      </w:r>
      <w:r w:rsidRPr="00EC2DB6">
        <w:rPr>
          <w:sz w:val="24"/>
          <w:szCs w:val="24"/>
        </w:rPr>
        <w:t xml:space="preserve">(1999), film clips from the Spielberg Jewish Film Archives </w:t>
      </w:r>
    </w:p>
    <w:p w:rsidR="00285CF2" w:rsidRPr="00EC2DB6" w:rsidRDefault="00285CF2">
      <w:pPr>
        <w:rPr>
          <w:sz w:val="24"/>
          <w:szCs w:val="24"/>
        </w:rPr>
      </w:pPr>
    </w:p>
    <w:p w:rsidR="00285CF2" w:rsidRPr="00EC2DB6" w:rsidRDefault="00962094">
      <w:pPr>
        <w:rPr>
          <w:sz w:val="24"/>
          <w:szCs w:val="24"/>
        </w:rPr>
      </w:pPr>
      <w:r>
        <w:rPr>
          <w:b/>
          <w:sz w:val="24"/>
          <w:szCs w:val="24"/>
        </w:rPr>
        <w:t>Epilogue</w:t>
      </w:r>
      <w:r w:rsidR="008738F4" w:rsidRPr="00EC2DB6">
        <w:rPr>
          <w:b/>
          <w:sz w:val="24"/>
          <w:szCs w:val="24"/>
        </w:rPr>
        <w:t xml:space="preserve">: </w:t>
      </w:r>
      <w:r w:rsidR="008738F4" w:rsidRPr="00EC2D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285CF2" w:rsidRPr="00EC2DB6">
        <w:rPr>
          <w:b/>
          <w:sz w:val="24"/>
          <w:szCs w:val="24"/>
        </w:rPr>
        <w:t>The City without Jews</w:t>
      </w:r>
    </w:p>
    <w:p w:rsidR="00682275" w:rsidRPr="00EC2DB6" w:rsidRDefault="00682275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Ruth Gruber, </w:t>
      </w:r>
      <w:r w:rsidRPr="00EC2DB6">
        <w:rPr>
          <w:i/>
          <w:sz w:val="24"/>
          <w:szCs w:val="24"/>
        </w:rPr>
        <w:t xml:space="preserve">Virtually Jewish: Reinventing Jewish Culture in Europe </w:t>
      </w:r>
      <w:r w:rsidRPr="00EC2DB6">
        <w:rPr>
          <w:sz w:val="24"/>
          <w:szCs w:val="24"/>
        </w:rPr>
        <w:t>(Berkeley: University of California Press, 2002), Chapter 1 (“Cities without Jews”), 3-24.</w:t>
      </w:r>
    </w:p>
    <w:p w:rsidR="00285CF2" w:rsidRPr="00EC2DB6" w:rsidRDefault="00285CF2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Hugo Bettauer, </w:t>
      </w:r>
      <w:r w:rsidRPr="00EC2DB6">
        <w:rPr>
          <w:i/>
          <w:sz w:val="24"/>
          <w:szCs w:val="24"/>
        </w:rPr>
        <w:t xml:space="preserve">The City Without Jews: A Novel of Our Time </w:t>
      </w:r>
      <w:r w:rsidRPr="00EC2DB6">
        <w:rPr>
          <w:sz w:val="24"/>
          <w:szCs w:val="24"/>
        </w:rPr>
        <w:t xml:space="preserve">(New York: Bloch, 1926).  Originally published in German in 1922. </w:t>
      </w:r>
    </w:p>
    <w:p w:rsidR="00285CF2" w:rsidRPr="00116B3F" w:rsidRDefault="00285CF2">
      <w:pPr>
        <w:rPr>
          <w:sz w:val="24"/>
          <w:szCs w:val="24"/>
        </w:rPr>
      </w:pPr>
      <w:r w:rsidRPr="00EC2DB6">
        <w:rPr>
          <w:sz w:val="24"/>
          <w:szCs w:val="24"/>
        </w:rPr>
        <w:t xml:space="preserve">FILM: </w:t>
      </w:r>
      <w:r w:rsidRPr="00EC2DB6">
        <w:rPr>
          <w:i/>
          <w:sz w:val="24"/>
          <w:szCs w:val="24"/>
        </w:rPr>
        <w:t xml:space="preserve">Die Stadt </w:t>
      </w:r>
      <w:proofErr w:type="spellStart"/>
      <w:r w:rsidRPr="00EC2DB6">
        <w:rPr>
          <w:i/>
          <w:sz w:val="24"/>
          <w:szCs w:val="24"/>
        </w:rPr>
        <w:t>ohne</w:t>
      </w:r>
      <w:proofErr w:type="spellEnd"/>
      <w:r w:rsidRPr="00EC2DB6">
        <w:rPr>
          <w:i/>
          <w:sz w:val="24"/>
          <w:szCs w:val="24"/>
        </w:rPr>
        <w:t xml:space="preserve"> </w:t>
      </w:r>
      <w:proofErr w:type="spellStart"/>
      <w:r w:rsidRPr="00EC2DB6">
        <w:rPr>
          <w:i/>
          <w:sz w:val="24"/>
          <w:szCs w:val="24"/>
        </w:rPr>
        <w:t>Juden</w:t>
      </w:r>
      <w:proofErr w:type="spellEnd"/>
      <w:r w:rsidRPr="00EC2DB6">
        <w:rPr>
          <w:sz w:val="24"/>
          <w:szCs w:val="24"/>
        </w:rPr>
        <w:t xml:space="preserve"> (1924), directed by H.K. </w:t>
      </w:r>
      <w:proofErr w:type="spellStart"/>
      <w:r w:rsidRPr="00EC2DB6">
        <w:rPr>
          <w:sz w:val="24"/>
          <w:szCs w:val="24"/>
        </w:rPr>
        <w:t>Bresslauer</w:t>
      </w:r>
      <w:proofErr w:type="spellEnd"/>
    </w:p>
    <w:p w:rsidR="008E1B68" w:rsidRDefault="008E1B68">
      <w:pPr>
        <w:rPr>
          <w:sz w:val="24"/>
          <w:szCs w:val="24"/>
        </w:rPr>
      </w:pPr>
    </w:p>
    <w:p w:rsidR="00EC2DB6" w:rsidRPr="00EC2DB6" w:rsidRDefault="009B3C2C" w:rsidP="00EC2DB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Final Paper</w:t>
      </w:r>
      <w:r w:rsidR="00EC2DB6" w:rsidRPr="00EC2DB6">
        <w:rPr>
          <w:b/>
          <w:color w:val="FF0000"/>
          <w:sz w:val="28"/>
          <w:szCs w:val="28"/>
        </w:rPr>
        <w:t xml:space="preserve"> Due: Friday, </w:t>
      </w:r>
      <w:r>
        <w:rPr>
          <w:b/>
          <w:color w:val="FF0000"/>
          <w:sz w:val="28"/>
          <w:szCs w:val="28"/>
        </w:rPr>
        <w:t>April 9</w:t>
      </w:r>
      <w:r w:rsidR="00EC2DB6">
        <w:rPr>
          <w:b/>
          <w:color w:val="FF0000"/>
          <w:sz w:val="28"/>
          <w:szCs w:val="28"/>
        </w:rPr>
        <w:t xml:space="preserve">, 2017 </w:t>
      </w:r>
    </w:p>
    <w:p w:rsidR="00EC2DB6" w:rsidRPr="00116B3F" w:rsidRDefault="00EC2DB6">
      <w:pPr>
        <w:rPr>
          <w:sz w:val="24"/>
          <w:szCs w:val="24"/>
        </w:rPr>
      </w:pPr>
    </w:p>
    <w:sectPr w:rsidR="00EC2DB6" w:rsidRPr="0011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51B"/>
    <w:multiLevelType w:val="hybridMultilevel"/>
    <w:tmpl w:val="132A7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AD"/>
    <w:rsid w:val="000517FC"/>
    <w:rsid w:val="000A0C10"/>
    <w:rsid w:val="000A78D3"/>
    <w:rsid w:val="000C0739"/>
    <w:rsid w:val="000C49C2"/>
    <w:rsid w:val="00110ACB"/>
    <w:rsid w:val="00116B3F"/>
    <w:rsid w:val="00135F7B"/>
    <w:rsid w:val="00151BF3"/>
    <w:rsid w:val="00175A1F"/>
    <w:rsid w:val="00183DF2"/>
    <w:rsid w:val="00243A11"/>
    <w:rsid w:val="00262E5A"/>
    <w:rsid w:val="00285CF2"/>
    <w:rsid w:val="002E7128"/>
    <w:rsid w:val="00301F60"/>
    <w:rsid w:val="0036286F"/>
    <w:rsid w:val="00396044"/>
    <w:rsid w:val="003E2186"/>
    <w:rsid w:val="00432BAC"/>
    <w:rsid w:val="0044106B"/>
    <w:rsid w:val="00444552"/>
    <w:rsid w:val="00454426"/>
    <w:rsid w:val="004D33D7"/>
    <w:rsid w:val="004E10ED"/>
    <w:rsid w:val="004E156F"/>
    <w:rsid w:val="005377EA"/>
    <w:rsid w:val="005449A1"/>
    <w:rsid w:val="00567684"/>
    <w:rsid w:val="00616198"/>
    <w:rsid w:val="006179AD"/>
    <w:rsid w:val="00666D4F"/>
    <w:rsid w:val="00676A47"/>
    <w:rsid w:val="00682275"/>
    <w:rsid w:val="006D280F"/>
    <w:rsid w:val="00740E68"/>
    <w:rsid w:val="007C0380"/>
    <w:rsid w:val="007F37BA"/>
    <w:rsid w:val="0081199A"/>
    <w:rsid w:val="00836742"/>
    <w:rsid w:val="00845DEF"/>
    <w:rsid w:val="008527BE"/>
    <w:rsid w:val="008738F4"/>
    <w:rsid w:val="0088422A"/>
    <w:rsid w:val="00887098"/>
    <w:rsid w:val="008E1B68"/>
    <w:rsid w:val="008E627F"/>
    <w:rsid w:val="009166E1"/>
    <w:rsid w:val="00962094"/>
    <w:rsid w:val="009808AF"/>
    <w:rsid w:val="009A5035"/>
    <w:rsid w:val="009B3C2C"/>
    <w:rsid w:val="00A73EAC"/>
    <w:rsid w:val="00A87B00"/>
    <w:rsid w:val="00A92AA7"/>
    <w:rsid w:val="00AF6D2C"/>
    <w:rsid w:val="00B0121D"/>
    <w:rsid w:val="00B41419"/>
    <w:rsid w:val="00B76D39"/>
    <w:rsid w:val="00BC200E"/>
    <w:rsid w:val="00C05917"/>
    <w:rsid w:val="00C52329"/>
    <w:rsid w:val="00D41778"/>
    <w:rsid w:val="00D77913"/>
    <w:rsid w:val="00D937B1"/>
    <w:rsid w:val="00D95381"/>
    <w:rsid w:val="00DB6EBA"/>
    <w:rsid w:val="00DD160E"/>
    <w:rsid w:val="00E01F27"/>
    <w:rsid w:val="00E31B00"/>
    <w:rsid w:val="00EC2DB6"/>
    <w:rsid w:val="00EC6C3C"/>
    <w:rsid w:val="00F06788"/>
    <w:rsid w:val="00F15DB2"/>
    <w:rsid w:val="00F45D2D"/>
    <w:rsid w:val="00FB162D"/>
    <w:rsid w:val="00FE41D6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C26"/>
  <w15:chartTrackingRefBased/>
  <w15:docId w15:val="{E93A6076-92B8-4C45-94C1-422041D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michael</cp:lastModifiedBy>
  <cp:revision>2</cp:revision>
  <dcterms:created xsi:type="dcterms:W3CDTF">2021-01-07T12:50:00Z</dcterms:created>
  <dcterms:modified xsi:type="dcterms:W3CDTF">2021-01-07T12:50:00Z</dcterms:modified>
</cp:coreProperties>
</file>