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3511" w14:textId="70647158" w:rsidR="000E03AA" w:rsidRDefault="007D2B04">
      <w:pPr>
        <w:rPr>
          <w:rFonts w:cs="Arial"/>
          <w:b/>
        </w:rPr>
      </w:pPr>
      <w:r w:rsidRPr="0012191D">
        <w:rPr>
          <w:rFonts w:cs="Arial"/>
          <w:b/>
        </w:rPr>
        <w:t>Operating</w:t>
      </w:r>
      <w:r w:rsidR="00637647" w:rsidRPr="0012191D">
        <w:rPr>
          <w:rFonts w:cs="Arial"/>
          <w:b/>
        </w:rPr>
        <w:t xml:space="preserve"> in </w:t>
      </w:r>
      <w:r w:rsidR="000E03AA" w:rsidRPr="0012191D">
        <w:rPr>
          <w:rFonts w:cs="Arial"/>
          <w:b/>
        </w:rPr>
        <w:t>Post Conflict Environment</w:t>
      </w:r>
      <w:r w:rsidR="00637647" w:rsidRPr="0012191D">
        <w:rPr>
          <w:rFonts w:cs="Arial"/>
          <w:b/>
        </w:rPr>
        <w:t>s</w:t>
      </w:r>
      <w:r w:rsidR="00AA239B">
        <w:rPr>
          <w:rFonts w:cs="Arial"/>
          <w:b/>
        </w:rPr>
        <w:t>:</w:t>
      </w:r>
      <w:r w:rsidR="00AA239B" w:rsidRPr="00AA239B">
        <w:rPr>
          <w:rFonts w:cs="Arial"/>
          <w:b/>
        </w:rPr>
        <w:t xml:space="preserve"> </w:t>
      </w:r>
      <w:r w:rsidR="00AA239B" w:rsidRPr="0012191D">
        <w:rPr>
          <w:rFonts w:cs="Arial"/>
          <w:b/>
        </w:rPr>
        <w:t>: You as a Policy Advisor</w:t>
      </w:r>
    </w:p>
    <w:p w14:paraId="3C611BE6" w14:textId="3FB911C7" w:rsidR="00AA239B" w:rsidRDefault="00AA239B">
      <w:pPr>
        <w:rPr>
          <w:rFonts w:cs="Arial"/>
          <w:b/>
        </w:rPr>
      </w:pPr>
      <w:r>
        <w:rPr>
          <w:rFonts w:cs="Arial"/>
          <w:b/>
        </w:rPr>
        <w:t>Instructor: Maureen Brown</w:t>
      </w:r>
    </w:p>
    <w:p w14:paraId="747821E4" w14:textId="270FC95F" w:rsidR="00AA239B" w:rsidRDefault="00AA239B">
      <w:pPr>
        <w:rPr>
          <w:rFonts w:cs="Arial"/>
          <w:b/>
        </w:rPr>
      </w:pPr>
      <w:r>
        <w:rPr>
          <w:rFonts w:cs="Arial"/>
          <w:b/>
        </w:rPr>
        <w:t>Credits: 2.0</w:t>
      </w:r>
    </w:p>
    <w:p w14:paraId="39EBD323" w14:textId="23AD0B51" w:rsidR="00AA239B" w:rsidRPr="0012191D" w:rsidRDefault="00AA239B">
      <w:pPr>
        <w:rPr>
          <w:rFonts w:cs="Arial"/>
          <w:b/>
        </w:rPr>
      </w:pPr>
      <w:r>
        <w:rPr>
          <w:rFonts w:cs="Arial"/>
          <w:b/>
        </w:rPr>
        <w:t xml:space="preserve">Term: Spring </w:t>
      </w:r>
    </w:p>
    <w:p w14:paraId="77739EB2" w14:textId="77777777" w:rsidR="00637647" w:rsidRPr="0012191D" w:rsidRDefault="00637647">
      <w:pPr>
        <w:rPr>
          <w:rFonts w:cs="Arial"/>
          <w:b/>
        </w:rPr>
      </w:pPr>
    </w:p>
    <w:p w14:paraId="299C047B" w14:textId="38A53F03" w:rsidR="00CC5971" w:rsidRPr="0012191D" w:rsidRDefault="00B61B3C" w:rsidP="00CC5971">
      <w:pPr>
        <w:jc w:val="both"/>
      </w:pPr>
      <w:r w:rsidRPr="0012191D">
        <w:t>R</w:t>
      </w:r>
      <w:r w:rsidR="00FF4979" w:rsidRPr="0012191D">
        <w:t xml:space="preserve">eform in any public policy sector is challenging but in </w:t>
      </w:r>
      <w:r w:rsidR="007D2B04" w:rsidRPr="0012191D">
        <w:t xml:space="preserve">fragile states and </w:t>
      </w:r>
      <w:r w:rsidR="00FF4979" w:rsidRPr="0012191D">
        <w:t xml:space="preserve">post-conflict countries these challenges are multiplied and test even the most skilled leaders and operatives. Increasingly there is a demand for political and field operators to not only have the theoretical knowledge but also the complimentary practical skillset. </w:t>
      </w:r>
      <w:r w:rsidR="00820A31" w:rsidRPr="0012191D">
        <w:t xml:space="preserve"> </w:t>
      </w:r>
      <w:r w:rsidR="009D3BA8" w:rsidRPr="0012191D">
        <w:t>Operatives</w:t>
      </w:r>
      <w:r w:rsidR="00FF4979" w:rsidRPr="0012191D">
        <w:t xml:space="preserve"> interested in a career in post-con</w:t>
      </w:r>
      <w:r w:rsidR="007D2B04" w:rsidRPr="0012191D">
        <w:t>flict state-building and public-</w:t>
      </w:r>
      <w:r w:rsidR="00FF4979" w:rsidRPr="0012191D">
        <w:t xml:space="preserve">sector management in fragile settings need to not only bring their academic credentials to bear but are increasingly required to demonstrate practical skills </w:t>
      </w:r>
      <w:r w:rsidR="007E6AE5" w:rsidRPr="0012191D">
        <w:t xml:space="preserve">to enable effective </w:t>
      </w:r>
      <w:r w:rsidR="002C0A06" w:rsidRPr="0012191D">
        <w:t>mandate implementation.</w:t>
      </w:r>
    </w:p>
    <w:p w14:paraId="6164B939" w14:textId="77777777" w:rsidR="007E6AE5" w:rsidRPr="0012191D" w:rsidRDefault="007E6AE5" w:rsidP="00CC5971">
      <w:pPr>
        <w:jc w:val="both"/>
      </w:pPr>
    </w:p>
    <w:p w14:paraId="7022B80A" w14:textId="2723BB6F" w:rsidR="00CC5971" w:rsidRPr="0012191D" w:rsidRDefault="009D3BA8" w:rsidP="00CC5971">
      <w:pPr>
        <w:jc w:val="both"/>
      </w:pPr>
      <w:r w:rsidRPr="0012191D">
        <w:t xml:space="preserve">Using a pedagogical approach the course </w:t>
      </w:r>
      <w:r w:rsidR="00CC5971" w:rsidRPr="0012191D">
        <w:t xml:space="preserve">offers an overview of </w:t>
      </w:r>
      <w:r w:rsidR="005F539D" w:rsidRPr="0012191D">
        <w:t xml:space="preserve">the concept of </w:t>
      </w:r>
      <w:r w:rsidR="00CC5971" w:rsidRPr="0012191D">
        <w:t xml:space="preserve">Security Sector Reform (SSR) and through the use of case studies will consider </w:t>
      </w:r>
      <w:r w:rsidR="002C0A06" w:rsidRPr="0012191D">
        <w:t xml:space="preserve">the key international actors, </w:t>
      </w:r>
      <w:r w:rsidR="00CC5971" w:rsidRPr="0012191D">
        <w:t>operating challenges and good practices from SSR and other international missions and the specialist skills required to operate effectively</w:t>
      </w:r>
      <w:r w:rsidR="00A4671D" w:rsidRPr="0012191D">
        <w:t xml:space="preserve"> in those environments</w:t>
      </w:r>
      <w:r w:rsidR="00CC5971" w:rsidRPr="0012191D">
        <w:t xml:space="preserve">.  </w:t>
      </w:r>
    </w:p>
    <w:p w14:paraId="7EFB4CE4" w14:textId="77777777" w:rsidR="00CC5971" w:rsidRPr="0012191D" w:rsidRDefault="00CC5971" w:rsidP="00CC5971">
      <w:pPr>
        <w:jc w:val="both"/>
      </w:pPr>
    </w:p>
    <w:p w14:paraId="09C1D160" w14:textId="6D977123" w:rsidR="00CC5971" w:rsidRPr="0012191D" w:rsidRDefault="00B61B3C" w:rsidP="00CC5971">
      <w:pPr>
        <w:jc w:val="both"/>
        <w:rPr>
          <w:rFonts w:cs="Arial"/>
        </w:rPr>
      </w:pPr>
      <w:r w:rsidRPr="0012191D">
        <w:rPr>
          <w:rFonts w:cs="Arial"/>
        </w:rPr>
        <w:t xml:space="preserve">The focus of the course is practical application and will incorporate </w:t>
      </w:r>
      <w:r w:rsidR="00CC5971" w:rsidRPr="0012191D">
        <w:rPr>
          <w:rFonts w:cs="Arial"/>
        </w:rPr>
        <w:t xml:space="preserve">practice sessions on areas including; </w:t>
      </w:r>
      <w:r w:rsidR="00A4671D" w:rsidRPr="0012191D">
        <w:rPr>
          <w:rFonts w:cs="Arial"/>
        </w:rPr>
        <w:t xml:space="preserve">policy development, </w:t>
      </w:r>
      <w:r w:rsidR="00CC5971" w:rsidRPr="0012191D">
        <w:rPr>
          <w:rFonts w:cs="Arial"/>
        </w:rPr>
        <w:t>engaging communities in post-confli</w:t>
      </w:r>
      <w:r w:rsidR="0046343F" w:rsidRPr="0012191D">
        <w:rPr>
          <w:rFonts w:cs="Arial"/>
        </w:rPr>
        <w:t>ct areas, advising</w:t>
      </w:r>
      <w:r w:rsidR="00B65BAD" w:rsidRPr="0012191D">
        <w:rPr>
          <w:rFonts w:cs="Arial"/>
        </w:rPr>
        <w:t xml:space="preserve">, </w:t>
      </w:r>
      <w:r w:rsidR="00CC5971" w:rsidRPr="0012191D">
        <w:rPr>
          <w:rFonts w:cs="Arial"/>
        </w:rPr>
        <w:t>communications</w:t>
      </w:r>
      <w:r w:rsidR="00B65BAD" w:rsidRPr="0012191D">
        <w:rPr>
          <w:rFonts w:cs="Arial"/>
        </w:rPr>
        <w:t xml:space="preserve">, negotiation </w:t>
      </w:r>
      <w:r w:rsidR="007E6AE5" w:rsidRPr="0012191D">
        <w:rPr>
          <w:rFonts w:cs="Arial"/>
        </w:rPr>
        <w:t xml:space="preserve">and </w:t>
      </w:r>
      <w:r w:rsidR="007E6AE5" w:rsidRPr="0012191D">
        <w:t xml:space="preserve">also the ‘soft skills’ relating to people engagement and </w:t>
      </w:r>
      <w:r w:rsidR="00B65BAD" w:rsidRPr="0012191D">
        <w:t xml:space="preserve">team </w:t>
      </w:r>
      <w:r w:rsidR="007E6AE5" w:rsidRPr="0012191D">
        <w:t>management.</w:t>
      </w:r>
    </w:p>
    <w:p w14:paraId="6B89FDCE" w14:textId="77777777" w:rsidR="002C0A06" w:rsidRPr="0012191D" w:rsidRDefault="002C0A06" w:rsidP="009D3BA8">
      <w:pPr>
        <w:shd w:val="clear" w:color="auto" w:fill="FFFFFF"/>
        <w:rPr>
          <w:rFonts w:eastAsia="Times New Roman" w:cs="Open Sans"/>
          <w:color w:val="000000"/>
        </w:rPr>
      </w:pPr>
    </w:p>
    <w:p w14:paraId="27DAAEF0" w14:textId="77777777" w:rsidR="009D3BA8" w:rsidRPr="0012191D" w:rsidRDefault="009D3BA8" w:rsidP="009D3BA8">
      <w:pPr>
        <w:shd w:val="clear" w:color="auto" w:fill="FFFFFF"/>
        <w:rPr>
          <w:rFonts w:eastAsia="Times New Roman" w:cs="Open Sans"/>
          <w:b/>
          <w:bCs/>
          <w:color w:val="000000"/>
        </w:rPr>
      </w:pPr>
      <w:r w:rsidRPr="0012191D">
        <w:rPr>
          <w:rFonts w:eastAsia="Times New Roman" w:cs="Open Sans"/>
          <w:b/>
          <w:bCs/>
          <w:color w:val="000000"/>
        </w:rPr>
        <w:t>Learning Outcomes: </w:t>
      </w:r>
    </w:p>
    <w:p w14:paraId="0B7604A2" w14:textId="77777777" w:rsidR="00CF018A" w:rsidRPr="0012191D" w:rsidRDefault="00CF018A" w:rsidP="009D3BA8">
      <w:pPr>
        <w:shd w:val="clear" w:color="auto" w:fill="FFFFFF"/>
        <w:rPr>
          <w:rFonts w:eastAsia="Times New Roman" w:cs="Open Sans"/>
          <w:b/>
          <w:bCs/>
          <w:color w:val="000000"/>
        </w:rPr>
      </w:pPr>
    </w:p>
    <w:p w14:paraId="499C6D5A" w14:textId="77777777" w:rsidR="009D3BA8" w:rsidRPr="0012191D" w:rsidRDefault="009D3BA8" w:rsidP="009D3BA8">
      <w:pPr>
        <w:shd w:val="clear" w:color="auto" w:fill="FFFFFF"/>
        <w:spacing w:after="360"/>
        <w:ind w:left="360"/>
        <w:rPr>
          <w:rFonts w:eastAsia="Times New Roman" w:cs="Open Sans"/>
          <w:color w:val="000000"/>
        </w:rPr>
      </w:pPr>
      <w:r w:rsidRPr="0012191D">
        <w:rPr>
          <w:rFonts w:eastAsia="Times New Roman" w:cs="Open Sans"/>
          <w:color w:val="000000"/>
        </w:rPr>
        <w:t>After the successful completion of the course, the students shall:</w:t>
      </w:r>
    </w:p>
    <w:p w14:paraId="111BFFDF" w14:textId="77777777" w:rsidR="0048205F" w:rsidRPr="0012191D" w:rsidRDefault="0048205F" w:rsidP="0048205F">
      <w:pPr>
        <w:numPr>
          <w:ilvl w:val="0"/>
          <w:numId w:val="1"/>
        </w:numPr>
        <w:spacing w:before="120" w:after="120"/>
        <w:jc w:val="both"/>
      </w:pPr>
      <w:r w:rsidRPr="0012191D">
        <w:t>Have knowledge of the principles that underpin security sector reform (SSR) and international and interventions in post conflict environments</w:t>
      </w:r>
    </w:p>
    <w:p w14:paraId="7A33D03F" w14:textId="77777777" w:rsidR="0048205F" w:rsidRPr="0012191D" w:rsidRDefault="00CF018A" w:rsidP="0048205F">
      <w:pPr>
        <w:numPr>
          <w:ilvl w:val="0"/>
          <w:numId w:val="1"/>
        </w:numPr>
        <w:spacing w:before="120" w:after="120"/>
        <w:jc w:val="both"/>
      </w:pPr>
      <w:r w:rsidRPr="0012191D">
        <w:rPr>
          <w:rFonts w:eastAsia="Times New Roman" w:cs="Open Sans"/>
          <w:color w:val="000000"/>
        </w:rPr>
        <w:t>Recognis</w:t>
      </w:r>
      <w:r w:rsidR="0048205F" w:rsidRPr="0012191D">
        <w:rPr>
          <w:rFonts w:eastAsia="Times New Roman" w:cs="Open Sans"/>
          <w:color w:val="000000"/>
        </w:rPr>
        <w:t>e the main international actors and policy challenges in the area of Security Sector Reform</w:t>
      </w:r>
    </w:p>
    <w:p w14:paraId="30C8F09B" w14:textId="40E2E28C" w:rsidR="0048205F" w:rsidRPr="0012191D" w:rsidRDefault="0048205F" w:rsidP="0048205F">
      <w:pPr>
        <w:numPr>
          <w:ilvl w:val="0"/>
          <w:numId w:val="1"/>
        </w:numPr>
        <w:spacing w:before="120" w:after="120"/>
        <w:jc w:val="both"/>
      </w:pPr>
      <w:r w:rsidRPr="0012191D">
        <w:t xml:space="preserve">Have considered </w:t>
      </w:r>
      <w:r w:rsidR="00B61B3C" w:rsidRPr="0012191D">
        <w:t>and identified</w:t>
      </w:r>
      <w:r w:rsidRPr="0012191D">
        <w:t xml:space="preserve"> attributes and approaches that are helpful when acting as an advisor in an international reform context</w:t>
      </w:r>
    </w:p>
    <w:p w14:paraId="27C33D8E" w14:textId="77777777" w:rsidR="0048205F" w:rsidRPr="0012191D" w:rsidRDefault="0048205F" w:rsidP="0048205F">
      <w:pPr>
        <w:numPr>
          <w:ilvl w:val="0"/>
          <w:numId w:val="1"/>
        </w:numPr>
        <w:spacing w:before="120" w:after="120"/>
        <w:jc w:val="both"/>
      </w:pPr>
      <w:r w:rsidRPr="0012191D">
        <w:t xml:space="preserve">Have practised a range of individual and team skills required to operate effectively in post conflict environments.  </w:t>
      </w:r>
    </w:p>
    <w:p w14:paraId="081D42DC" w14:textId="77777777" w:rsidR="0048205F" w:rsidRPr="0012191D" w:rsidRDefault="0048205F" w:rsidP="0048205F">
      <w:pPr>
        <w:spacing w:before="120" w:after="120"/>
        <w:ind w:left="720"/>
        <w:jc w:val="both"/>
      </w:pPr>
    </w:p>
    <w:p w14:paraId="042110BD" w14:textId="77777777" w:rsidR="00223197" w:rsidRPr="0012191D" w:rsidRDefault="00223197" w:rsidP="00223197">
      <w:pPr>
        <w:shd w:val="clear" w:color="auto" w:fill="FFFFFF"/>
        <w:rPr>
          <w:rFonts w:eastAsia="Times New Roman" w:cs="Open Sans"/>
          <w:b/>
          <w:bCs/>
          <w:color w:val="000000"/>
        </w:rPr>
      </w:pPr>
      <w:r w:rsidRPr="0012191D">
        <w:rPr>
          <w:rFonts w:eastAsia="Times New Roman" w:cs="Open Sans"/>
          <w:b/>
          <w:bCs/>
          <w:color w:val="000000"/>
        </w:rPr>
        <w:t>Prerequisites: </w:t>
      </w:r>
    </w:p>
    <w:p w14:paraId="5831A8AE" w14:textId="585D32FB" w:rsidR="00223197" w:rsidRPr="00AA239B" w:rsidRDefault="00223197" w:rsidP="00AA239B">
      <w:pPr>
        <w:shd w:val="clear" w:color="auto" w:fill="FFFFFF"/>
        <w:spacing w:after="360"/>
        <w:rPr>
          <w:rFonts w:eastAsia="Times New Roman" w:cs="Open Sans"/>
          <w:color w:val="000000"/>
        </w:rPr>
      </w:pPr>
      <w:r w:rsidRPr="0012191D">
        <w:rPr>
          <w:rFonts w:eastAsia="Times New Roman" w:cs="Open Sans"/>
          <w:color w:val="000000"/>
        </w:rPr>
        <w:t>There are no prerequisites for this course.</w:t>
      </w:r>
    </w:p>
    <w:p w14:paraId="659AB654" w14:textId="77777777" w:rsidR="00CF018A" w:rsidRPr="0012191D" w:rsidRDefault="00CF018A" w:rsidP="00CF018A">
      <w:pPr>
        <w:shd w:val="clear" w:color="auto" w:fill="FFFFFF"/>
        <w:rPr>
          <w:rFonts w:eastAsia="Times New Roman" w:cs="Open Sans"/>
          <w:b/>
          <w:bCs/>
          <w:color w:val="000000"/>
        </w:rPr>
      </w:pPr>
      <w:r w:rsidRPr="0012191D">
        <w:rPr>
          <w:rFonts w:eastAsia="Times New Roman" w:cs="Open Sans"/>
          <w:b/>
          <w:bCs/>
          <w:color w:val="000000"/>
        </w:rPr>
        <w:t>Assessment: </w:t>
      </w:r>
    </w:p>
    <w:p w14:paraId="07A03341" w14:textId="28F5D39E" w:rsidR="00AB4697" w:rsidRPr="0012191D" w:rsidRDefault="00CF018A" w:rsidP="00AB4697">
      <w:pPr>
        <w:shd w:val="clear" w:color="auto" w:fill="FFFFFF"/>
        <w:spacing w:after="360"/>
        <w:rPr>
          <w:rFonts w:eastAsia="Times New Roman" w:cs="Open Sans"/>
          <w:color w:val="000000"/>
        </w:rPr>
      </w:pPr>
      <w:r w:rsidRPr="0012191D">
        <w:rPr>
          <w:rFonts w:eastAsia="Times New Roman" w:cs="Open Sans"/>
          <w:color w:val="000000"/>
        </w:rPr>
        <w:t>The students will be assessed according to the combination of the following criteria:</w:t>
      </w:r>
    </w:p>
    <w:p w14:paraId="27DAF47F" w14:textId="77777777" w:rsidR="00AB4697" w:rsidRPr="0012191D" w:rsidRDefault="00AB4697" w:rsidP="00AB4697">
      <w:pPr>
        <w:shd w:val="clear" w:color="auto" w:fill="FFFFFF"/>
        <w:spacing w:after="360"/>
        <w:rPr>
          <w:rFonts w:eastAsia="Times New Roman" w:cs="Open Sans"/>
          <w:b/>
          <w:color w:val="000000"/>
        </w:rPr>
      </w:pPr>
      <w:r w:rsidRPr="0012191D">
        <w:rPr>
          <w:rFonts w:eastAsia="Times New Roman" w:cs="Open Sans"/>
          <w:b/>
          <w:color w:val="000000"/>
        </w:rPr>
        <w:lastRenderedPageBreak/>
        <w:t>•</w:t>
      </w:r>
      <w:r w:rsidRPr="0012191D">
        <w:rPr>
          <w:rFonts w:eastAsia="Times New Roman" w:cs="Open Sans"/>
          <w:b/>
          <w:color w:val="000000"/>
        </w:rPr>
        <w:tab/>
        <w:t>Class participation and pre-session assignments: 40%</w:t>
      </w:r>
    </w:p>
    <w:p w14:paraId="15E2623D" w14:textId="77777777" w:rsidR="00AB4697" w:rsidRPr="0012191D" w:rsidRDefault="00AB4697" w:rsidP="00AB4697">
      <w:pPr>
        <w:shd w:val="clear" w:color="auto" w:fill="FFFFFF"/>
        <w:spacing w:after="360"/>
        <w:jc w:val="both"/>
        <w:rPr>
          <w:rFonts w:eastAsia="Times New Roman" w:cs="Open Sans"/>
          <w:color w:val="000000"/>
        </w:rPr>
      </w:pPr>
      <w:r w:rsidRPr="0012191D">
        <w:rPr>
          <w:rFonts w:eastAsia="Times New Roman" w:cs="Open Sans"/>
          <w:color w:val="000000"/>
        </w:rPr>
        <w:t>Students will be expected to fulfil pre-session reading assignments as listed in the course schedule. The pre-session assignments will include the requirement to read the mandatory readings and be ready to discuss them during the sessions (graduate seminar style), identify specific materials or develop short presentations on a topic relevant for the session. This could be about an organisation/institution, a specific policy area or situation or an emerging trend.</w:t>
      </w:r>
    </w:p>
    <w:p w14:paraId="28DF772F" w14:textId="3159B8B5" w:rsidR="00AB4697" w:rsidRPr="0012191D" w:rsidRDefault="00AB4697" w:rsidP="00AB4697">
      <w:pPr>
        <w:shd w:val="clear" w:color="auto" w:fill="FFFFFF"/>
        <w:spacing w:after="360"/>
        <w:rPr>
          <w:rFonts w:eastAsia="Times New Roman" w:cs="Open Sans"/>
          <w:color w:val="000000"/>
        </w:rPr>
      </w:pPr>
      <w:r w:rsidRPr="0012191D">
        <w:rPr>
          <w:rFonts w:eastAsia="Times New Roman" w:cs="Open Sans"/>
          <w:color w:val="000000"/>
        </w:rPr>
        <w:t>•</w:t>
      </w:r>
      <w:r w:rsidRPr="0012191D">
        <w:rPr>
          <w:rFonts w:eastAsia="Times New Roman" w:cs="Open Sans"/>
          <w:b/>
          <w:color w:val="000000"/>
        </w:rPr>
        <w:tab/>
      </w:r>
      <w:r w:rsidR="0012191D" w:rsidRPr="0012191D">
        <w:rPr>
          <w:rFonts w:eastAsia="Times New Roman" w:cs="Open Sans"/>
          <w:b/>
          <w:color w:val="000000"/>
        </w:rPr>
        <w:t xml:space="preserve">Course </w:t>
      </w:r>
      <w:r w:rsidR="00D83ECE" w:rsidRPr="0012191D">
        <w:rPr>
          <w:rFonts w:eastAsia="Times New Roman" w:cs="Open Sans"/>
          <w:b/>
          <w:color w:val="000000"/>
        </w:rPr>
        <w:t>Exercises</w:t>
      </w:r>
      <w:r w:rsidR="005D2B44" w:rsidRPr="0012191D">
        <w:rPr>
          <w:rFonts w:eastAsia="Times New Roman" w:cs="Open Sans"/>
          <w:b/>
          <w:color w:val="000000"/>
        </w:rPr>
        <w:t>: 3</w:t>
      </w:r>
      <w:r w:rsidRPr="0012191D">
        <w:rPr>
          <w:rFonts w:eastAsia="Times New Roman" w:cs="Open Sans"/>
          <w:b/>
          <w:color w:val="000000"/>
        </w:rPr>
        <w:t>0%</w:t>
      </w:r>
    </w:p>
    <w:p w14:paraId="1FEC0252" w14:textId="77B6BC64" w:rsidR="00AB4697" w:rsidRPr="0012191D" w:rsidRDefault="00AB4697" w:rsidP="005D2B44">
      <w:pPr>
        <w:shd w:val="clear" w:color="auto" w:fill="FFFFFF"/>
        <w:spacing w:after="360"/>
        <w:rPr>
          <w:rFonts w:eastAsia="Times New Roman" w:cs="Open Sans"/>
          <w:color w:val="000000"/>
        </w:rPr>
      </w:pPr>
      <w:r w:rsidRPr="0012191D">
        <w:rPr>
          <w:rFonts w:eastAsia="Times New Roman" w:cs="Open Sans"/>
          <w:color w:val="000000"/>
        </w:rPr>
        <w:t xml:space="preserve">Each student will require to prepare for and practice a minimum of </w:t>
      </w:r>
      <w:r w:rsidR="00D83ECE" w:rsidRPr="0012191D">
        <w:rPr>
          <w:rFonts w:eastAsia="Times New Roman" w:cs="Open Sans"/>
          <w:color w:val="000000"/>
        </w:rPr>
        <w:t>four</w:t>
      </w:r>
      <w:r w:rsidRPr="0012191D">
        <w:rPr>
          <w:rFonts w:eastAsia="Times New Roman" w:cs="Open Sans"/>
          <w:color w:val="000000"/>
        </w:rPr>
        <w:t xml:space="preserve"> individual and</w:t>
      </w:r>
      <w:r w:rsidR="00D83ECE" w:rsidRPr="0012191D">
        <w:rPr>
          <w:rFonts w:eastAsia="Times New Roman" w:cs="Open Sans"/>
          <w:color w:val="000000"/>
        </w:rPr>
        <w:t>/or</w:t>
      </w:r>
      <w:r w:rsidRPr="0012191D">
        <w:rPr>
          <w:rFonts w:eastAsia="Times New Roman" w:cs="Open Sans"/>
          <w:color w:val="000000"/>
        </w:rPr>
        <w:t xml:space="preserve"> team skill exercises in</w:t>
      </w:r>
      <w:r w:rsidR="00880B3B" w:rsidRPr="0012191D">
        <w:rPr>
          <w:rFonts w:eastAsia="Times New Roman" w:cs="Open Sans"/>
          <w:color w:val="000000"/>
        </w:rPr>
        <w:t xml:space="preserve"> the areas of</w:t>
      </w:r>
      <w:r w:rsidRPr="0012191D">
        <w:rPr>
          <w:rFonts w:eastAsia="Times New Roman" w:cs="Open Sans"/>
          <w:color w:val="000000"/>
        </w:rPr>
        <w:t xml:space="preserve">; policy analysis and development, working within a team, </w:t>
      </w:r>
      <w:r w:rsidR="003539C9" w:rsidRPr="0012191D">
        <w:rPr>
          <w:rFonts w:eastAsia="Times New Roman" w:cs="Open Sans"/>
          <w:color w:val="000000"/>
        </w:rPr>
        <w:t>preparing and writing a speech</w:t>
      </w:r>
      <w:r w:rsidRPr="0012191D">
        <w:rPr>
          <w:rFonts w:eastAsia="Times New Roman" w:cs="Open Sans"/>
          <w:color w:val="000000"/>
        </w:rPr>
        <w:t>, advising a Principal, communications and negotiation.  Students will be responsible for individual, pairing or group preparation, followed by classroom exercise and/or presentation.</w:t>
      </w:r>
      <w:r w:rsidR="005D2B44" w:rsidRPr="0012191D">
        <w:rPr>
          <w:rFonts w:eastAsia="Times New Roman" w:cs="Open Sans"/>
          <w:color w:val="000000"/>
        </w:rPr>
        <w:t xml:space="preserve">  (Presentation and/or written paper to be submitted for assessment purpose)</w:t>
      </w:r>
    </w:p>
    <w:p w14:paraId="6DF57DC2" w14:textId="0BE2E4D8" w:rsidR="00AA239B" w:rsidRDefault="00223197" w:rsidP="00AB4697">
      <w:pPr>
        <w:shd w:val="clear" w:color="auto" w:fill="FFFFFF"/>
        <w:spacing w:after="360"/>
        <w:rPr>
          <w:rFonts w:eastAsia="Times New Roman" w:cs="Open Sans"/>
          <w:color w:val="000000"/>
        </w:rPr>
      </w:pPr>
      <w:r w:rsidRPr="0012191D">
        <w:rPr>
          <w:rFonts w:eastAsia="Times New Roman" w:cs="Open Sans"/>
          <w:b/>
          <w:color w:val="000000"/>
        </w:rPr>
        <w:t>Final Exercise</w:t>
      </w:r>
      <w:r w:rsidR="00490AD0" w:rsidRPr="0012191D">
        <w:rPr>
          <w:rFonts w:eastAsia="Times New Roman" w:cs="Open Sans"/>
          <w:b/>
          <w:color w:val="000000"/>
        </w:rPr>
        <w:t>:</w:t>
      </w:r>
      <w:r w:rsidR="005D2B44" w:rsidRPr="0012191D">
        <w:rPr>
          <w:rFonts w:eastAsia="Times New Roman" w:cs="Open Sans"/>
          <w:b/>
          <w:color w:val="000000"/>
        </w:rPr>
        <w:t xml:space="preserve">  30 %</w:t>
      </w:r>
      <w:r w:rsidRPr="0012191D">
        <w:rPr>
          <w:rFonts w:eastAsia="Times New Roman" w:cs="Open Sans"/>
          <w:b/>
          <w:color w:val="000000"/>
        </w:rPr>
        <w:t>.</w:t>
      </w:r>
      <w:r w:rsidRPr="0012191D">
        <w:rPr>
          <w:rFonts w:eastAsia="Times New Roman" w:cs="Open Sans"/>
          <w:color w:val="000000"/>
        </w:rPr>
        <w:t xml:space="preserve"> </w:t>
      </w:r>
      <w:r w:rsidR="0012191D" w:rsidRPr="0012191D">
        <w:rPr>
          <w:rFonts w:eastAsia="Times New Roman" w:cs="Open Sans"/>
          <w:color w:val="000000"/>
        </w:rPr>
        <w:t xml:space="preserve">  </w:t>
      </w:r>
      <w:r w:rsidRPr="0012191D">
        <w:rPr>
          <w:rFonts w:eastAsia="Times New Roman" w:cs="Open Sans"/>
          <w:color w:val="000000"/>
        </w:rPr>
        <w:t xml:space="preserve"> </w:t>
      </w:r>
      <w:r w:rsidR="003539C9" w:rsidRPr="0012191D">
        <w:rPr>
          <w:rFonts w:eastAsia="Times New Roman" w:cs="Open Sans"/>
          <w:color w:val="000000"/>
        </w:rPr>
        <w:t xml:space="preserve">In groups students will </w:t>
      </w:r>
      <w:r w:rsidR="00D83ECE" w:rsidRPr="0012191D">
        <w:rPr>
          <w:rFonts w:eastAsia="Times New Roman" w:cs="Open Sans"/>
          <w:color w:val="000000"/>
        </w:rPr>
        <w:t xml:space="preserve">research an identified </w:t>
      </w:r>
      <w:r w:rsidR="00EE3F34" w:rsidRPr="0012191D">
        <w:rPr>
          <w:rFonts w:eastAsia="Times New Roman" w:cs="Open Sans"/>
          <w:color w:val="000000"/>
        </w:rPr>
        <w:t xml:space="preserve">fragile/post conflict situation, identify the political </w:t>
      </w:r>
      <w:r w:rsidR="00880B3B" w:rsidRPr="0012191D">
        <w:rPr>
          <w:rFonts w:eastAsia="Times New Roman" w:cs="Open Sans"/>
          <w:color w:val="000000"/>
        </w:rPr>
        <w:t xml:space="preserve">and security </w:t>
      </w:r>
      <w:r w:rsidR="00EE3F34" w:rsidRPr="0012191D">
        <w:rPr>
          <w:rFonts w:eastAsia="Times New Roman" w:cs="Open Sans"/>
          <w:color w:val="000000"/>
        </w:rPr>
        <w:t>context,</w:t>
      </w:r>
      <w:r w:rsidRPr="0012191D">
        <w:rPr>
          <w:rFonts w:eastAsia="Times New Roman" w:cs="Open Sans"/>
          <w:color w:val="000000"/>
        </w:rPr>
        <w:t xml:space="preserve"> stakeholders,</w:t>
      </w:r>
      <w:r w:rsidR="00EE3F34" w:rsidRPr="0012191D">
        <w:rPr>
          <w:rFonts w:eastAsia="Times New Roman" w:cs="Open Sans"/>
          <w:color w:val="000000"/>
        </w:rPr>
        <w:t xml:space="preserve"> the challenges facing </w:t>
      </w:r>
      <w:r w:rsidR="00880B3B" w:rsidRPr="0012191D">
        <w:rPr>
          <w:rFonts w:eastAsia="Times New Roman" w:cs="Open Sans"/>
          <w:color w:val="000000"/>
        </w:rPr>
        <w:t>international SSR actors and propose a range of options</w:t>
      </w:r>
      <w:r w:rsidRPr="0012191D">
        <w:rPr>
          <w:rFonts w:eastAsia="Times New Roman" w:cs="Open Sans"/>
          <w:color w:val="000000"/>
        </w:rPr>
        <w:t>,</w:t>
      </w:r>
      <w:r w:rsidR="00880B3B" w:rsidRPr="0012191D">
        <w:rPr>
          <w:rFonts w:eastAsia="Times New Roman" w:cs="Open Sans"/>
          <w:color w:val="000000"/>
        </w:rPr>
        <w:t xml:space="preserve"> which could be addressed.  Presentations will be made in groups.</w:t>
      </w:r>
      <w:r w:rsidR="005D2B44" w:rsidRPr="0012191D">
        <w:rPr>
          <w:rFonts w:eastAsia="Times New Roman" w:cs="Open Sans"/>
          <w:color w:val="000000"/>
        </w:rPr>
        <w:t xml:space="preserve">   (Presentation and written paper to be submitted for assessment purpose)</w:t>
      </w:r>
      <w:r w:rsidR="00AA239B">
        <w:rPr>
          <w:rFonts w:eastAsia="Times New Roman" w:cs="Open Sans"/>
          <w:color w:val="000000"/>
        </w:rPr>
        <w:t>.</w:t>
      </w:r>
    </w:p>
    <w:p w14:paraId="66071FF0" w14:textId="3A61258F" w:rsidR="00797CAC" w:rsidRPr="00797CAC" w:rsidRDefault="00797CAC" w:rsidP="00AB4697">
      <w:pPr>
        <w:shd w:val="clear" w:color="auto" w:fill="FFFFFF"/>
        <w:spacing w:after="360"/>
        <w:rPr>
          <w:rFonts w:eastAsia="Times New Roman" w:cs="Open Sans"/>
          <w:b/>
          <w:color w:val="000000"/>
        </w:rPr>
      </w:pPr>
      <w:r w:rsidRPr="00797CAC">
        <w:rPr>
          <w:rFonts w:eastAsia="Times New Roman" w:cs="Open Sans"/>
          <w:b/>
          <w:color w:val="000000"/>
        </w:rPr>
        <w:t>Session Content</w:t>
      </w:r>
    </w:p>
    <w:tbl>
      <w:tblPr>
        <w:tblStyle w:val="TableGrid"/>
        <w:tblW w:w="9492" w:type="dxa"/>
        <w:tblInd w:w="100" w:type="dxa"/>
        <w:tblLook w:val="04A0" w:firstRow="1" w:lastRow="0" w:firstColumn="1" w:lastColumn="0" w:noHBand="0" w:noVBand="1"/>
      </w:tblPr>
      <w:tblGrid>
        <w:gridCol w:w="1310"/>
        <w:gridCol w:w="1245"/>
        <w:gridCol w:w="2572"/>
        <w:gridCol w:w="4365"/>
      </w:tblGrid>
      <w:tr w:rsidR="00AA239B" w14:paraId="6F504D51" w14:textId="77777777" w:rsidTr="00AA239B">
        <w:trPr>
          <w:trHeight w:val="477"/>
        </w:trPr>
        <w:tc>
          <w:tcPr>
            <w:tcW w:w="1310" w:type="dxa"/>
            <w:shd w:val="clear" w:color="auto" w:fill="DBE5F1" w:themeFill="accent1" w:themeFillTint="33"/>
          </w:tcPr>
          <w:p w14:paraId="05B53DEB" w14:textId="77777777" w:rsidR="00AA239B" w:rsidRPr="002B3670" w:rsidRDefault="00AA239B" w:rsidP="00F945E0">
            <w:pPr>
              <w:rPr>
                <w:b/>
                <w:sz w:val="20"/>
                <w:szCs w:val="20"/>
              </w:rPr>
            </w:pPr>
            <w:r w:rsidRPr="002B3670">
              <w:rPr>
                <w:b/>
                <w:sz w:val="20"/>
                <w:szCs w:val="20"/>
              </w:rPr>
              <w:t>Date</w:t>
            </w:r>
          </w:p>
        </w:tc>
        <w:tc>
          <w:tcPr>
            <w:tcW w:w="1245" w:type="dxa"/>
            <w:shd w:val="clear" w:color="auto" w:fill="DBE5F1" w:themeFill="accent1" w:themeFillTint="33"/>
          </w:tcPr>
          <w:p w14:paraId="15151F20" w14:textId="77777777" w:rsidR="00AA239B" w:rsidRPr="002B3670" w:rsidRDefault="00AA239B" w:rsidP="00F945E0">
            <w:pPr>
              <w:rPr>
                <w:b/>
                <w:sz w:val="20"/>
                <w:szCs w:val="20"/>
              </w:rPr>
            </w:pPr>
            <w:r w:rsidRPr="002B3670">
              <w:rPr>
                <w:b/>
                <w:sz w:val="20"/>
                <w:szCs w:val="20"/>
              </w:rPr>
              <w:t xml:space="preserve">Session </w:t>
            </w:r>
          </w:p>
        </w:tc>
        <w:tc>
          <w:tcPr>
            <w:tcW w:w="2572" w:type="dxa"/>
            <w:shd w:val="clear" w:color="auto" w:fill="DBE5F1" w:themeFill="accent1" w:themeFillTint="33"/>
          </w:tcPr>
          <w:p w14:paraId="6657DA0A" w14:textId="77777777" w:rsidR="00AA239B" w:rsidRPr="002B3670" w:rsidRDefault="00AA239B" w:rsidP="00F945E0">
            <w:pPr>
              <w:rPr>
                <w:b/>
                <w:sz w:val="20"/>
                <w:szCs w:val="20"/>
              </w:rPr>
            </w:pPr>
            <w:r w:rsidRPr="002B3670">
              <w:rPr>
                <w:b/>
                <w:sz w:val="20"/>
                <w:szCs w:val="20"/>
              </w:rPr>
              <w:t>Title</w:t>
            </w:r>
          </w:p>
        </w:tc>
        <w:tc>
          <w:tcPr>
            <w:tcW w:w="4365" w:type="dxa"/>
            <w:shd w:val="clear" w:color="auto" w:fill="DBE5F1" w:themeFill="accent1" w:themeFillTint="33"/>
          </w:tcPr>
          <w:p w14:paraId="535497CC" w14:textId="77777777" w:rsidR="00AA239B" w:rsidRPr="002B3670" w:rsidRDefault="00AA239B" w:rsidP="00F945E0">
            <w:pPr>
              <w:rPr>
                <w:b/>
                <w:sz w:val="20"/>
                <w:szCs w:val="20"/>
              </w:rPr>
            </w:pPr>
            <w:r w:rsidRPr="002B3670">
              <w:rPr>
                <w:b/>
                <w:sz w:val="20"/>
                <w:szCs w:val="20"/>
              </w:rPr>
              <w:t>To include…</w:t>
            </w:r>
          </w:p>
        </w:tc>
      </w:tr>
      <w:tr w:rsidR="00AA239B" w14:paraId="1D32BB21" w14:textId="77777777" w:rsidTr="00AA239B">
        <w:trPr>
          <w:trHeight w:val="736"/>
        </w:trPr>
        <w:tc>
          <w:tcPr>
            <w:tcW w:w="1310" w:type="dxa"/>
            <w:vMerge w:val="restart"/>
          </w:tcPr>
          <w:p w14:paraId="76B2FEF4" w14:textId="77777777" w:rsidR="00AA239B" w:rsidRPr="002B3670" w:rsidRDefault="00AA239B" w:rsidP="00F945E0">
            <w:pPr>
              <w:rPr>
                <w:b/>
                <w:sz w:val="20"/>
                <w:szCs w:val="20"/>
              </w:rPr>
            </w:pPr>
            <w:r w:rsidRPr="002B3670">
              <w:rPr>
                <w:b/>
                <w:sz w:val="20"/>
                <w:szCs w:val="20"/>
              </w:rPr>
              <w:t>April 9</w:t>
            </w:r>
          </w:p>
          <w:p w14:paraId="4BEBD173" w14:textId="77777777" w:rsidR="00AA239B" w:rsidRPr="002B3670" w:rsidRDefault="00AA239B" w:rsidP="00F945E0">
            <w:pPr>
              <w:rPr>
                <w:sz w:val="20"/>
                <w:szCs w:val="20"/>
              </w:rPr>
            </w:pPr>
          </w:p>
          <w:p w14:paraId="30CEF787" w14:textId="77777777" w:rsidR="00AA239B" w:rsidRPr="002B3670" w:rsidRDefault="00AA239B" w:rsidP="00F945E0">
            <w:pPr>
              <w:rPr>
                <w:sz w:val="20"/>
                <w:szCs w:val="20"/>
              </w:rPr>
            </w:pPr>
            <w:r w:rsidRPr="002B3670">
              <w:rPr>
                <w:sz w:val="20"/>
                <w:szCs w:val="20"/>
              </w:rPr>
              <w:t>09:00-12:40</w:t>
            </w:r>
          </w:p>
        </w:tc>
        <w:tc>
          <w:tcPr>
            <w:tcW w:w="1245" w:type="dxa"/>
          </w:tcPr>
          <w:p w14:paraId="0EFACC37" w14:textId="77777777" w:rsidR="00AA239B" w:rsidRPr="002B3670" w:rsidRDefault="00AA239B" w:rsidP="00F945E0">
            <w:pPr>
              <w:rPr>
                <w:b/>
                <w:sz w:val="20"/>
                <w:szCs w:val="20"/>
              </w:rPr>
            </w:pPr>
            <w:r w:rsidRPr="002B3670">
              <w:rPr>
                <w:b/>
                <w:sz w:val="20"/>
                <w:szCs w:val="20"/>
              </w:rPr>
              <w:t>1</w:t>
            </w:r>
          </w:p>
        </w:tc>
        <w:tc>
          <w:tcPr>
            <w:tcW w:w="2572" w:type="dxa"/>
          </w:tcPr>
          <w:p w14:paraId="4679091C" w14:textId="77777777" w:rsidR="00AA239B" w:rsidRPr="002B3670" w:rsidRDefault="00AA239B" w:rsidP="00F945E0">
            <w:pPr>
              <w:rPr>
                <w:b/>
                <w:sz w:val="20"/>
                <w:szCs w:val="20"/>
              </w:rPr>
            </w:pPr>
            <w:r w:rsidRPr="002B3670">
              <w:rPr>
                <w:b/>
                <w:sz w:val="20"/>
                <w:szCs w:val="20"/>
              </w:rPr>
              <w:t>Introduction to Security Sector Reform (SSR)</w:t>
            </w:r>
          </w:p>
          <w:p w14:paraId="2C5F5AAE" w14:textId="77777777" w:rsidR="00AA239B" w:rsidRPr="002B3670" w:rsidRDefault="00AA239B" w:rsidP="00F945E0">
            <w:pPr>
              <w:rPr>
                <w:b/>
                <w:sz w:val="20"/>
                <w:szCs w:val="20"/>
              </w:rPr>
            </w:pPr>
          </w:p>
        </w:tc>
        <w:tc>
          <w:tcPr>
            <w:tcW w:w="4365" w:type="dxa"/>
          </w:tcPr>
          <w:p w14:paraId="61268114" w14:textId="77777777" w:rsidR="00AA239B" w:rsidRPr="002B3670" w:rsidRDefault="00AA239B" w:rsidP="00F945E0">
            <w:pPr>
              <w:rPr>
                <w:sz w:val="20"/>
                <w:szCs w:val="20"/>
              </w:rPr>
            </w:pPr>
            <w:r w:rsidRPr="002B3670">
              <w:rPr>
                <w:sz w:val="20"/>
                <w:szCs w:val="20"/>
              </w:rPr>
              <w:t>Challenges, current trends and ‘lessons from the field’</w:t>
            </w:r>
          </w:p>
        </w:tc>
      </w:tr>
      <w:tr w:rsidR="00AA239B" w14:paraId="372AC29B" w14:textId="77777777" w:rsidTr="00AA239B">
        <w:trPr>
          <w:trHeight w:val="122"/>
        </w:trPr>
        <w:tc>
          <w:tcPr>
            <w:tcW w:w="1310" w:type="dxa"/>
            <w:vMerge/>
          </w:tcPr>
          <w:p w14:paraId="3E4192D1" w14:textId="77777777" w:rsidR="00AA239B" w:rsidRPr="002B3670" w:rsidRDefault="00AA239B" w:rsidP="00F945E0">
            <w:pPr>
              <w:rPr>
                <w:b/>
                <w:sz w:val="20"/>
                <w:szCs w:val="20"/>
              </w:rPr>
            </w:pPr>
          </w:p>
        </w:tc>
        <w:tc>
          <w:tcPr>
            <w:tcW w:w="1245" w:type="dxa"/>
          </w:tcPr>
          <w:p w14:paraId="74AA2DBF" w14:textId="77777777" w:rsidR="00AA239B" w:rsidRPr="002B3670" w:rsidRDefault="00AA239B" w:rsidP="00F945E0">
            <w:pPr>
              <w:rPr>
                <w:b/>
                <w:sz w:val="20"/>
                <w:szCs w:val="20"/>
              </w:rPr>
            </w:pPr>
            <w:r w:rsidRPr="002B3670">
              <w:rPr>
                <w:b/>
                <w:sz w:val="20"/>
                <w:szCs w:val="20"/>
              </w:rPr>
              <w:t>2</w:t>
            </w:r>
          </w:p>
        </w:tc>
        <w:tc>
          <w:tcPr>
            <w:tcW w:w="2572" w:type="dxa"/>
          </w:tcPr>
          <w:p w14:paraId="3FA9DFB7" w14:textId="77777777" w:rsidR="00AA239B" w:rsidRPr="002B3670" w:rsidRDefault="00AA239B" w:rsidP="00F945E0">
            <w:pPr>
              <w:rPr>
                <w:b/>
                <w:sz w:val="20"/>
                <w:szCs w:val="20"/>
              </w:rPr>
            </w:pPr>
            <w:r w:rsidRPr="002B3670">
              <w:rPr>
                <w:b/>
                <w:sz w:val="20"/>
                <w:szCs w:val="20"/>
              </w:rPr>
              <w:t>International Operations and Multidimensional Missions</w:t>
            </w:r>
          </w:p>
        </w:tc>
        <w:tc>
          <w:tcPr>
            <w:tcW w:w="4365" w:type="dxa"/>
          </w:tcPr>
          <w:p w14:paraId="72F83589" w14:textId="77777777" w:rsidR="00AA239B" w:rsidRPr="002B3670" w:rsidRDefault="00AA239B" w:rsidP="00F945E0">
            <w:pPr>
              <w:rPr>
                <w:sz w:val="20"/>
                <w:szCs w:val="20"/>
              </w:rPr>
            </w:pPr>
            <w:r w:rsidRPr="002B3670">
              <w:rPr>
                <w:sz w:val="20"/>
                <w:szCs w:val="20"/>
              </w:rPr>
              <w:t>Who is doing what – and is it working?</w:t>
            </w:r>
          </w:p>
        </w:tc>
      </w:tr>
      <w:tr w:rsidR="00AA239B" w14:paraId="61B8D007" w14:textId="77777777" w:rsidTr="00AA239B">
        <w:trPr>
          <w:trHeight w:val="263"/>
        </w:trPr>
        <w:tc>
          <w:tcPr>
            <w:tcW w:w="1310" w:type="dxa"/>
            <w:vMerge w:val="restart"/>
          </w:tcPr>
          <w:p w14:paraId="7E787545" w14:textId="77777777" w:rsidR="00AA239B" w:rsidRPr="002B3670" w:rsidRDefault="00AA239B" w:rsidP="00F945E0">
            <w:pPr>
              <w:rPr>
                <w:b/>
                <w:sz w:val="20"/>
                <w:szCs w:val="20"/>
              </w:rPr>
            </w:pPr>
            <w:r w:rsidRPr="002B3670">
              <w:rPr>
                <w:b/>
                <w:sz w:val="20"/>
                <w:szCs w:val="20"/>
              </w:rPr>
              <w:t>April 16</w:t>
            </w:r>
          </w:p>
          <w:p w14:paraId="6E37C469" w14:textId="77777777" w:rsidR="00AA239B" w:rsidRPr="002B3670" w:rsidRDefault="00AA239B" w:rsidP="00F945E0">
            <w:pPr>
              <w:rPr>
                <w:b/>
                <w:sz w:val="20"/>
                <w:szCs w:val="20"/>
              </w:rPr>
            </w:pPr>
          </w:p>
          <w:p w14:paraId="6C76E328" w14:textId="77777777" w:rsidR="00AA239B" w:rsidRPr="002B3670" w:rsidRDefault="00AA239B" w:rsidP="00F945E0">
            <w:pPr>
              <w:rPr>
                <w:sz w:val="20"/>
                <w:szCs w:val="20"/>
              </w:rPr>
            </w:pPr>
            <w:r w:rsidRPr="002B3670">
              <w:rPr>
                <w:sz w:val="20"/>
                <w:szCs w:val="20"/>
              </w:rPr>
              <w:t>09:00-12:40</w:t>
            </w:r>
          </w:p>
        </w:tc>
        <w:tc>
          <w:tcPr>
            <w:tcW w:w="1245" w:type="dxa"/>
          </w:tcPr>
          <w:p w14:paraId="27F56ED8" w14:textId="77777777" w:rsidR="00AA239B" w:rsidRPr="002B3670" w:rsidRDefault="00AA239B" w:rsidP="00F945E0">
            <w:pPr>
              <w:rPr>
                <w:b/>
                <w:sz w:val="20"/>
                <w:szCs w:val="20"/>
              </w:rPr>
            </w:pPr>
            <w:r w:rsidRPr="002B3670">
              <w:rPr>
                <w:b/>
                <w:sz w:val="20"/>
                <w:szCs w:val="20"/>
              </w:rPr>
              <w:t>3</w:t>
            </w:r>
          </w:p>
        </w:tc>
        <w:tc>
          <w:tcPr>
            <w:tcW w:w="2572" w:type="dxa"/>
          </w:tcPr>
          <w:p w14:paraId="0DAA0AF2" w14:textId="77777777" w:rsidR="00AA239B" w:rsidRPr="002B3670" w:rsidRDefault="00AA239B" w:rsidP="00F945E0">
            <w:pPr>
              <w:rPr>
                <w:b/>
                <w:sz w:val="20"/>
                <w:szCs w:val="20"/>
              </w:rPr>
            </w:pPr>
            <w:r w:rsidRPr="002B3670">
              <w:rPr>
                <w:b/>
                <w:sz w:val="20"/>
                <w:szCs w:val="20"/>
              </w:rPr>
              <w:t>Role of Advisor</w:t>
            </w:r>
          </w:p>
          <w:p w14:paraId="4F729B6A" w14:textId="77777777" w:rsidR="00AA239B" w:rsidRPr="002B3670" w:rsidRDefault="00AA239B" w:rsidP="00F945E0">
            <w:pPr>
              <w:rPr>
                <w:b/>
                <w:sz w:val="20"/>
                <w:szCs w:val="20"/>
              </w:rPr>
            </w:pPr>
          </w:p>
        </w:tc>
        <w:tc>
          <w:tcPr>
            <w:tcW w:w="4365" w:type="dxa"/>
          </w:tcPr>
          <w:p w14:paraId="7AC0FF81" w14:textId="77777777" w:rsidR="00AA239B" w:rsidRPr="002B3670" w:rsidRDefault="00AA239B" w:rsidP="00F945E0">
            <w:pPr>
              <w:rPr>
                <w:sz w:val="20"/>
                <w:szCs w:val="20"/>
              </w:rPr>
            </w:pPr>
            <w:r w:rsidRPr="002B3670">
              <w:rPr>
                <w:sz w:val="20"/>
                <w:szCs w:val="20"/>
              </w:rPr>
              <w:t>Identification of role/skills/attributes</w:t>
            </w:r>
          </w:p>
          <w:p w14:paraId="5916FB70" w14:textId="77777777" w:rsidR="00AA239B" w:rsidRPr="002B3670" w:rsidRDefault="00AA239B" w:rsidP="00F945E0">
            <w:pPr>
              <w:rPr>
                <w:sz w:val="20"/>
                <w:szCs w:val="20"/>
              </w:rPr>
            </w:pPr>
            <w:r w:rsidRPr="002B3670">
              <w:rPr>
                <w:sz w:val="20"/>
                <w:szCs w:val="20"/>
              </w:rPr>
              <w:t>Working in multi-dimensional and multi-cultural environments</w:t>
            </w:r>
          </w:p>
        </w:tc>
      </w:tr>
      <w:tr w:rsidR="00AA239B" w14:paraId="32A12B57" w14:textId="77777777" w:rsidTr="00AA239B">
        <w:trPr>
          <w:trHeight w:val="122"/>
        </w:trPr>
        <w:tc>
          <w:tcPr>
            <w:tcW w:w="1310" w:type="dxa"/>
            <w:vMerge/>
          </w:tcPr>
          <w:p w14:paraId="0A117C4E" w14:textId="77777777" w:rsidR="00AA239B" w:rsidRPr="002B3670" w:rsidRDefault="00AA239B" w:rsidP="00F945E0">
            <w:pPr>
              <w:rPr>
                <w:b/>
                <w:sz w:val="20"/>
                <w:szCs w:val="20"/>
              </w:rPr>
            </w:pPr>
          </w:p>
        </w:tc>
        <w:tc>
          <w:tcPr>
            <w:tcW w:w="1245" w:type="dxa"/>
          </w:tcPr>
          <w:p w14:paraId="5BDA750E" w14:textId="77777777" w:rsidR="00AA239B" w:rsidRPr="002B3670" w:rsidRDefault="00AA239B" w:rsidP="00F945E0">
            <w:pPr>
              <w:rPr>
                <w:b/>
                <w:sz w:val="20"/>
                <w:szCs w:val="20"/>
              </w:rPr>
            </w:pPr>
            <w:r w:rsidRPr="002B3670">
              <w:rPr>
                <w:b/>
                <w:sz w:val="20"/>
                <w:szCs w:val="20"/>
              </w:rPr>
              <w:t>4</w:t>
            </w:r>
          </w:p>
        </w:tc>
        <w:tc>
          <w:tcPr>
            <w:tcW w:w="2572" w:type="dxa"/>
          </w:tcPr>
          <w:p w14:paraId="66C9872E" w14:textId="77777777" w:rsidR="00AA239B" w:rsidRPr="002B3670" w:rsidRDefault="00AA239B" w:rsidP="00F945E0">
            <w:pPr>
              <w:rPr>
                <w:b/>
                <w:sz w:val="20"/>
                <w:szCs w:val="20"/>
              </w:rPr>
            </w:pPr>
            <w:r w:rsidRPr="002B3670">
              <w:rPr>
                <w:b/>
                <w:sz w:val="20"/>
                <w:szCs w:val="20"/>
              </w:rPr>
              <w:t>Working in Teams</w:t>
            </w:r>
          </w:p>
          <w:p w14:paraId="5C53DB88" w14:textId="77777777" w:rsidR="00AA239B" w:rsidRPr="002B3670" w:rsidRDefault="00AA239B" w:rsidP="00F945E0">
            <w:pPr>
              <w:rPr>
                <w:b/>
                <w:sz w:val="20"/>
                <w:szCs w:val="20"/>
              </w:rPr>
            </w:pPr>
          </w:p>
        </w:tc>
        <w:tc>
          <w:tcPr>
            <w:tcW w:w="4365" w:type="dxa"/>
          </w:tcPr>
          <w:p w14:paraId="1819D8DC" w14:textId="77777777" w:rsidR="00AA239B" w:rsidRPr="002B3670" w:rsidRDefault="00AA239B" w:rsidP="00F945E0">
            <w:pPr>
              <w:rPr>
                <w:sz w:val="20"/>
                <w:szCs w:val="20"/>
              </w:rPr>
            </w:pPr>
            <w:r w:rsidRPr="002B3670">
              <w:rPr>
                <w:sz w:val="20"/>
                <w:szCs w:val="20"/>
              </w:rPr>
              <w:t>Working in a team/team building/leading a team</w:t>
            </w:r>
          </w:p>
        </w:tc>
      </w:tr>
      <w:tr w:rsidR="00AA239B" w14:paraId="4293810D" w14:textId="77777777" w:rsidTr="00AA239B">
        <w:trPr>
          <w:trHeight w:val="503"/>
        </w:trPr>
        <w:tc>
          <w:tcPr>
            <w:tcW w:w="1310" w:type="dxa"/>
          </w:tcPr>
          <w:p w14:paraId="6C088404" w14:textId="77777777" w:rsidR="00AA239B" w:rsidRPr="002B3670" w:rsidRDefault="00AA239B" w:rsidP="00F945E0">
            <w:pPr>
              <w:rPr>
                <w:b/>
                <w:sz w:val="20"/>
                <w:szCs w:val="20"/>
              </w:rPr>
            </w:pPr>
            <w:r w:rsidRPr="002B3670">
              <w:rPr>
                <w:b/>
                <w:sz w:val="20"/>
                <w:szCs w:val="20"/>
              </w:rPr>
              <w:t>April 23</w:t>
            </w:r>
          </w:p>
          <w:p w14:paraId="1DBD7E5F" w14:textId="77777777" w:rsidR="00AA239B" w:rsidRPr="002B3670" w:rsidRDefault="00AA239B" w:rsidP="00F945E0">
            <w:pPr>
              <w:rPr>
                <w:sz w:val="20"/>
                <w:szCs w:val="20"/>
              </w:rPr>
            </w:pPr>
            <w:r w:rsidRPr="002B3670">
              <w:rPr>
                <w:sz w:val="20"/>
                <w:szCs w:val="20"/>
              </w:rPr>
              <w:t>09:00-12:40</w:t>
            </w:r>
          </w:p>
        </w:tc>
        <w:tc>
          <w:tcPr>
            <w:tcW w:w="1245" w:type="dxa"/>
          </w:tcPr>
          <w:p w14:paraId="09A5D22A" w14:textId="77777777" w:rsidR="00AA239B" w:rsidRPr="002B3670" w:rsidRDefault="00AA239B" w:rsidP="00F945E0">
            <w:pPr>
              <w:rPr>
                <w:b/>
                <w:sz w:val="20"/>
                <w:szCs w:val="20"/>
              </w:rPr>
            </w:pPr>
            <w:r w:rsidRPr="002B3670">
              <w:rPr>
                <w:b/>
                <w:sz w:val="20"/>
                <w:szCs w:val="20"/>
              </w:rPr>
              <w:t>5 &amp;</w:t>
            </w:r>
          </w:p>
          <w:p w14:paraId="397C4BF5" w14:textId="77777777" w:rsidR="00AA239B" w:rsidRPr="002B3670" w:rsidRDefault="00AA239B" w:rsidP="00F945E0">
            <w:pPr>
              <w:rPr>
                <w:b/>
                <w:sz w:val="20"/>
                <w:szCs w:val="20"/>
              </w:rPr>
            </w:pPr>
            <w:r w:rsidRPr="002B3670">
              <w:rPr>
                <w:b/>
                <w:sz w:val="20"/>
                <w:szCs w:val="20"/>
              </w:rPr>
              <w:t>6</w:t>
            </w:r>
          </w:p>
          <w:p w14:paraId="707AC068" w14:textId="77777777" w:rsidR="00AA239B" w:rsidRPr="002B3670" w:rsidRDefault="00AA239B" w:rsidP="00F945E0">
            <w:pPr>
              <w:rPr>
                <w:b/>
                <w:sz w:val="20"/>
                <w:szCs w:val="20"/>
              </w:rPr>
            </w:pPr>
          </w:p>
        </w:tc>
        <w:tc>
          <w:tcPr>
            <w:tcW w:w="2572" w:type="dxa"/>
          </w:tcPr>
          <w:p w14:paraId="30343DC8" w14:textId="77777777" w:rsidR="00AA239B" w:rsidRPr="002B3670" w:rsidRDefault="00AA239B" w:rsidP="00F945E0">
            <w:pPr>
              <w:rPr>
                <w:b/>
                <w:sz w:val="20"/>
                <w:szCs w:val="20"/>
              </w:rPr>
            </w:pPr>
            <w:r w:rsidRPr="002B3670">
              <w:rPr>
                <w:b/>
                <w:sz w:val="20"/>
                <w:szCs w:val="20"/>
              </w:rPr>
              <w:t>Policy Development</w:t>
            </w:r>
          </w:p>
        </w:tc>
        <w:tc>
          <w:tcPr>
            <w:tcW w:w="4365" w:type="dxa"/>
          </w:tcPr>
          <w:p w14:paraId="5F32FFFD" w14:textId="77777777" w:rsidR="00AA239B" w:rsidRPr="002B3670" w:rsidRDefault="00AA239B" w:rsidP="00F945E0">
            <w:pPr>
              <w:rPr>
                <w:sz w:val="20"/>
                <w:szCs w:val="20"/>
              </w:rPr>
            </w:pPr>
            <w:r w:rsidRPr="002B3670">
              <w:rPr>
                <w:sz w:val="20"/>
                <w:szCs w:val="20"/>
              </w:rPr>
              <w:t>Contributing to policy development/Tools of analysis</w:t>
            </w:r>
          </w:p>
        </w:tc>
      </w:tr>
      <w:tr w:rsidR="00AA239B" w14:paraId="507514A8" w14:textId="77777777" w:rsidTr="00AA239B">
        <w:trPr>
          <w:trHeight w:val="477"/>
        </w:trPr>
        <w:tc>
          <w:tcPr>
            <w:tcW w:w="1310" w:type="dxa"/>
            <w:vMerge w:val="restart"/>
          </w:tcPr>
          <w:p w14:paraId="2FCA9808" w14:textId="77777777" w:rsidR="00AA239B" w:rsidRPr="002B3670" w:rsidRDefault="00AA239B" w:rsidP="00F945E0">
            <w:pPr>
              <w:rPr>
                <w:b/>
                <w:sz w:val="20"/>
                <w:szCs w:val="20"/>
              </w:rPr>
            </w:pPr>
            <w:r w:rsidRPr="002B3670">
              <w:rPr>
                <w:b/>
                <w:sz w:val="20"/>
                <w:szCs w:val="20"/>
              </w:rPr>
              <w:t>April 30</w:t>
            </w:r>
          </w:p>
          <w:p w14:paraId="0A372940" w14:textId="77777777" w:rsidR="00AA239B" w:rsidRPr="002B3670" w:rsidRDefault="00AA239B" w:rsidP="00F945E0">
            <w:pPr>
              <w:rPr>
                <w:b/>
                <w:sz w:val="20"/>
                <w:szCs w:val="20"/>
              </w:rPr>
            </w:pPr>
          </w:p>
          <w:p w14:paraId="01363486" w14:textId="77777777" w:rsidR="00AA239B" w:rsidRPr="002B3670" w:rsidRDefault="00AA239B" w:rsidP="00F945E0">
            <w:pPr>
              <w:rPr>
                <w:sz w:val="20"/>
                <w:szCs w:val="20"/>
              </w:rPr>
            </w:pPr>
            <w:r w:rsidRPr="002B3670">
              <w:rPr>
                <w:sz w:val="20"/>
                <w:szCs w:val="20"/>
              </w:rPr>
              <w:t>09:00-12:40</w:t>
            </w:r>
          </w:p>
        </w:tc>
        <w:tc>
          <w:tcPr>
            <w:tcW w:w="1245" w:type="dxa"/>
            <w:vMerge w:val="restart"/>
          </w:tcPr>
          <w:p w14:paraId="1789BBF8" w14:textId="77777777" w:rsidR="00AA239B" w:rsidRPr="002B3670" w:rsidRDefault="00AA239B" w:rsidP="00F945E0">
            <w:pPr>
              <w:rPr>
                <w:b/>
                <w:sz w:val="20"/>
                <w:szCs w:val="20"/>
              </w:rPr>
            </w:pPr>
            <w:r w:rsidRPr="002B3670">
              <w:rPr>
                <w:b/>
                <w:sz w:val="20"/>
                <w:szCs w:val="20"/>
              </w:rPr>
              <w:t>7 &amp;</w:t>
            </w:r>
          </w:p>
          <w:p w14:paraId="19FCD0EB" w14:textId="77777777" w:rsidR="00AA239B" w:rsidRPr="002B3670" w:rsidRDefault="00AA239B" w:rsidP="00F945E0">
            <w:pPr>
              <w:rPr>
                <w:b/>
                <w:sz w:val="20"/>
                <w:szCs w:val="20"/>
              </w:rPr>
            </w:pPr>
            <w:r w:rsidRPr="002B3670">
              <w:rPr>
                <w:b/>
                <w:sz w:val="20"/>
                <w:szCs w:val="20"/>
              </w:rPr>
              <w:t>8</w:t>
            </w:r>
          </w:p>
        </w:tc>
        <w:tc>
          <w:tcPr>
            <w:tcW w:w="2572" w:type="dxa"/>
            <w:vMerge w:val="restart"/>
          </w:tcPr>
          <w:p w14:paraId="12E792B7" w14:textId="77777777" w:rsidR="00AA239B" w:rsidRPr="002B3670" w:rsidRDefault="00AA239B" w:rsidP="00F945E0">
            <w:pPr>
              <w:rPr>
                <w:b/>
                <w:sz w:val="20"/>
                <w:szCs w:val="20"/>
              </w:rPr>
            </w:pPr>
            <w:r w:rsidRPr="002B3670">
              <w:rPr>
                <w:b/>
                <w:sz w:val="20"/>
                <w:szCs w:val="20"/>
              </w:rPr>
              <w:t>Communicating with others</w:t>
            </w:r>
          </w:p>
          <w:p w14:paraId="58F42F50" w14:textId="77777777" w:rsidR="00AA239B" w:rsidRPr="002B3670" w:rsidRDefault="00AA239B" w:rsidP="00F945E0">
            <w:pPr>
              <w:rPr>
                <w:b/>
                <w:sz w:val="20"/>
                <w:szCs w:val="20"/>
              </w:rPr>
            </w:pPr>
          </w:p>
          <w:p w14:paraId="2AC7F46E" w14:textId="77777777" w:rsidR="00AA239B" w:rsidRPr="002B3670" w:rsidRDefault="00AA239B" w:rsidP="00F945E0">
            <w:pPr>
              <w:rPr>
                <w:b/>
                <w:sz w:val="20"/>
                <w:szCs w:val="20"/>
              </w:rPr>
            </w:pPr>
            <w:r w:rsidRPr="002B3670">
              <w:rPr>
                <w:b/>
                <w:sz w:val="20"/>
                <w:szCs w:val="20"/>
              </w:rPr>
              <w:t>Preparing and delivering a Briefing/Speech</w:t>
            </w:r>
          </w:p>
        </w:tc>
        <w:tc>
          <w:tcPr>
            <w:tcW w:w="4365" w:type="dxa"/>
          </w:tcPr>
          <w:p w14:paraId="53F8F262" w14:textId="77777777" w:rsidR="00AA239B" w:rsidRPr="002B3670" w:rsidRDefault="00AA239B" w:rsidP="00F945E0">
            <w:pPr>
              <w:rPr>
                <w:sz w:val="20"/>
                <w:szCs w:val="20"/>
              </w:rPr>
            </w:pPr>
            <w:r w:rsidRPr="002B3670">
              <w:rPr>
                <w:sz w:val="20"/>
                <w:szCs w:val="20"/>
              </w:rPr>
              <w:t>Report writing –including ‘managing up’</w:t>
            </w:r>
          </w:p>
          <w:p w14:paraId="10776BF3" w14:textId="77777777" w:rsidR="00AA239B" w:rsidRPr="002B3670" w:rsidRDefault="00AA239B" w:rsidP="00F945E0">
            <w:pPr>
              <w:rPr>
                <w:b/>
                <w:sz w:val="20"/>
                <w:szCs w:val="20"/>
              </w:rPr>
            </w:pPr>
          </w:p>
        </w:tc>
      </w:tr>
      <w:tr w:rsidR="00AA239B" w14:paraId="46E30ED6" w14:textId="77777777" w:rsidTr="00AA239B">
        <w:trPr>
          <w:trHeight w:val="518"/>
        </w:trPr>
        <w:tc>
          <w:tcPr>
            <w:tcW w:w="1310" w:type="dxa"/>
            <w:vMerge/>
          </w:tcPr>
          <w:p w14:paraId="36A64088" w14:textId="77777777" w:rsidR="00AA239B" w:rsidRPr="002B3670" w:rsidRDefault="00AA239B" w:rsidP="00F945E0">
            <w:pPr>
              <w:rPr>
                <w:b/>
                <w:sz w:val="20"/>
                <w:szCs w:val="20"/>
              </w:rPr>
            </w:pPr>
          </w:p>
        </w:tc>
        <w:tc>
          <w:tcPr>
            <w:tcW w:w="1245" w:type="dxa"/>
            <w:vMerge/>
          </w:tcPr>
          <w:p w14:paraId="23067088" w14:textId="77777777" w:rsidR="00AA239B" w:rsidRPr="002B3670" w:rsidRDefault="00AA239B" w:rsidP="00F945E0">
            <w:pPr>
              <w:rPr>
                <w:b/>
                <w:sz w:val="20"/>
                <w:szCs w:val="20"/>
              </w:rPr>
            </w:pPr>
          </w:p>
        </w:tc>
        <w:tc>
          <w:tcPr>
            <w:tcW w:w="2572" w:type="dxa"/>
            <w:vMerge/>
          </w:tcPr>
          <w:p w14:paraId="4917E40D" w14:textId="77777777" w:rsidR="00AA239B" w:rsidRPr="002B3670" w:rsidRDefault="00AA239B" w:rsidP="00F945E0">
            <w:pPr>
              <w:rPr>
                <w:b/>
                <w:sz w:val="20"/>
                <w:szCs w:val="20"/>
              </w:rPr>
            </w:pPr>
          </w:p>
        </w:tc>
        <w:tc>
          <w:tcPr>
            <w:tcW w:w="4365" w:type="dxa"/>
          </w:tcPr>
          <w:p w14:paraId="3494ADFA" w14:textId="77777777" w:rsidR="00AA239B" w:rsidRPr="002B3670" w:rsidRDefault="00AA239B" w:rsidP="00F945E0">
            <w:pPr>
              <w:rPr>
                <w:sz w:val="20"/>
                <w:szCs w:val="20"/>
              </w:rPr>
            </w:pPr>
            <w:r w:rsidRPr="002B3670">
              <w:rPr>
                <w:sz w:val="20"/>
                <w:szCs w:val="20"/>
              </w:rPr>
              <w:t xml:space="preserve">Supporting the principal – preparing reports/presentations/ speeches  </w:t>
            </w:r>
          </w:p>
        </w:tc>
      </w:tr>
      <w:tr w:rsidR="00AA239B" w14:paraId="6EDA0E6E" w14:textId="77777777" w:rsidTr="00AA239B">
        <w:trPr>
          <w:trHeight w:val="531"/>
        </w:trPr>
        <w:tc>
          <w:tcPr>
            <w:tcW w:w="1310" w:type="dxa"/>
          </w:tcPr>
          <w:p w14:paraId="0FBCF85E" w14:textId="77777777" w:rsidR="00AA239B" w:rsidRPr="002B3670" w:rsidRDefault="00AA239B" w:rsidP="00F945E0">
            <w:pPr>
              <w:rPr>
                <w:b/>
                <w:sz w:val="20"/>
                <w:szCs w:val="20"/>
              </w:rPr>
            </w:pPr>
            <w:r w:rsidRPr="002B3670">
              <w:rPr>
                <w:b/>
                <w:sz w:val="20"/>
                <w:szCs w:val="20"/>
              </w:rPr>
              <w:t>May 7</w:t>
            </w:r>
          </w:p>
          <w:p w14:paraId="5F90F2B5" w14:textId="77777777" w:rsidR="00AA239B" w:rsidRPr="002B3670" w:rsidRDefault="00AA239B" w:rsidP="00F945E0">
            <w:pPr>
              <w:rPr>
                <w:sz w:val="20"/>
                <w:szCs w:val="20"/>
              </w:rPr>
            </w:pPr>
            <w:r w:rsidRPr="002B3670">
              <w:rPr>
                <w:sz w:val="20"/>
                <w:szCs w:val="20"/>
              </w:rPr>
              <w:t>09:00-12:40</w:t>
            </w:r>
          </w:p>
        </w:tc>
        <w:tc>
          <w:tcPr>
            <w:tcW w:w="1245" w:type="dxa"/>
          </w:tcPr>
          <w:p w14:paraId="56BBEB4F" w14:textId="77777777" w:rsidR="00AA239B" w:rsidRPr="002B3670" w:rsidRDefault="00AA239B" w:rsidP="00F945E0">
            <w:pPr>
              <w:rPr>
                <w:b/>
                <w:sz w:val="20"/>
                <w:szCs w:val="20"/>
              </w:rPr>
            </w:pPr>
            <w:r w:rsidRPr="002B3670">
              <w:rPr>
                <w:b/>
                <w:sz w:val="20"/>
                <w:szCs w:val="20"/>
              </w:rPr>
              <w:t>9 &amp;</w:t>
            </w:r>
          </w:p>
          <w:p w14:paraId="023F2293" w14:textId="77777777" w:rsidR="00AA239B" w:rsidRPr="002B3670" w:rsidRDefault="00AA239B" w:rsidP="00F945E0">
            <w:pPr>
              <w:rPr>
                <w:b/>
                <w:sz w:val="20"/>
                <w:szCs w:val="20"/>
              </w:rPr>
            </w:pPr>
            <w:r w:rsidRPr="002B3670">
              <w:rPr>
                <w:b/>
                <w:sz w:val="20"/>
                <w:szCs w:val="20"/>
              </w:rPr>
              <w:t>10</w:t>
            </w:r>
          </w:p>
        </w:tc>
        <w:tc>
          <w:tcPr>
            <w:tcW w:w="2572" w:type="dxa"/>
          </w:tcPr>
          <w:p w14:paraId="4B1E11F5" w14:textId="77777777" w:rsidR="00AA239B" w:rsidRPr="002B3670" w:rsidRDefault="00AA239B" w:rsidP="00F945E0">
            <w:pPr>
              <w:rPr>
                <w:b/>
                <w:sz w:val="20"/>
                <w:szCs w:val="20"/>
              </w:rPr>
            </w:pPr>
            <w:r w:rsidRPr="002B3670">
              <w:rPr>
                <w:b/>
                <w:sz w:val="20"/>
                <w:szCs w:val="20"/>
              </w:rPr>
              <w:t xml:space="preserve">Influencing Others and </w:t>
            </w:r>
          </w:p>
          <w:p w14:paraId="5BA3B274" w14:textId="77777777" w:rsidR="00AA239B" w:rsidRPr="002B3670" w:rsidRDefault="00AA239B" w:rsidP="00F945E0">
            <w:pPr>
              <w:rPr>
                <w:b/>
                <w:sz w:val="20"/>
                <w:szCs w:val="20"/>
              </w:rPr>
            </w:pPr>
            <w:r w:rsidRPr="002B3670">
              <w:rPr>
                <w:b/>
                <w:sz w:val="20"/>
                <w:szCs w:val="20"/>
              </w:rPr>
              <w:t>Intro to Negotiation</w:t>
            </w:r>
          </w:p>
          <w:p w14:paraId="320203CD" w14:textId="77777777" w:rsidR="00AA239B" w:rsidRPr="002B3670" w:rsidRDefault="00AA239B" w:rsidP="00F945E0">
            <w:pPr>
              <w:rPr>
                <w:b/>
                <w:sz w:val="20"/>
                <w:szCs w:val="20"/>
              </w:rPr>
            </w:pPr>
          </w:p>
        </w:tc>
        <w:tc>
          <w:tcPr>
            <w:tcW w:w="4365" w:type="dxa"/>
          </w:tcPr>
          <w:p w14:paraId="1258AC63" w14:textId="77777777" w:rsidR="00AA239B" w:rsidRPr="002B3670" w:rsidRDefault="00AA239B" w:rsidP="00F945E0">
            <w:pPr>
              <w:rPr>
                <w:sz w:val="20"/>
                <w:szCs w:val="20"/>
              </w:rPr>
            </w:pPr>
            <w:r w:rsidRPr="002B3670">
              <w:rPr>
                <w:sz w:val="20"/>
                <w:szCs w:val="20"/>
              </w:rPr>
              <w:t>Influencing others – preparing and participating in meetings/media/negotiation</w:t>
            </w:r>
          </w:p>
        </w:tc>
      </w:tr>
      <w:tr w:rsidR="00AA239B" w14:paraId="0EC0A06A" w14:textId="77777777" w:rsidTr="00AA239B">
        <w:trPr>
          <w:trHeight w:val="752"/>
        </w:trPr>
        <w:tc>
          <w:tcPr>
            <w:tcW w:w="1310" w:type="dxa"/>
          </w:tcPr>
          <w:p w14:paraId="3E688234" w14:textId="77777777" w:rsidR="00AA239B" w:rsidRPr="002B3670" w:rsidRDefault="00AA239B" w:rsidP="00F945E0">
            <w:pPr>
              <w:rPr>
                <w:b/>
                <w:sz w:val="20"/>
                <w:szCs w:val="20"/>
              </w:rPr>
            </w:pPr>
            <w:r w:rsidRPr="002B3670">
              <w:rPr>
                <w:b/>
                <w:sz w:val="20"/>
                <w:szCs w:val="20"/>
              </w:rPr>
              <w:t>May 14</w:t>
            </w:r>
          </w:p>
          <w:p w14:paraId="4A57E2A0" w14:textId="77777777" w:rsidR="00AA239B" w:rsidRPr="002B3670" w:rsidRDefault="00AA239B" w:rsidP="00F945E0">
            <w:pPr>
              <w:rPr>
                <w:sz w:val="20"/>
                <w:szCs w:val="20"/>
              </w:rPr>
            </w:pPr>
          </w:p>
          <w:p w14:paraId="289DF6E2" w14:textId="77777777" w:rsidR="00AA239B" w:rsidRPr="002B3670" w:rsidRDefault="00AA239B" w:rsidP="00F945E0">
            <w:pPr>
              <w:rPr>
                <w:sz w:val="20"/>
                <w:szCs w:val="20"/>
              </w:rPr>
            </w:pPr>
            <w:r w:rsidRPr="002B3670">
              <w:rPr>
                <w:sz w:val="20"/>
                <w:szCs w:val="20"/>
              </w:rPr>
              <w:t>09:00-12:40</w:t>
            </w:r>
          </w:p>
        </w:tc>
        <w:tc>
          <w:tcPr>
            <w:tcW w:w="1245" w:type="dxa"/>
          </w:tcPr>
          <w:p w14:paraId="4F14FF03" w14:textId="77777777" w:rsidR="00AA239B" w:rsidRPr="002B3670" w:rsidRDefault="00AA239B" w:rsidP="00F945E0">
            <w:pPr>
              <w:rPr>
                <w:b/>
                <w:sz w:val="20"/>
                <w:szCs w:val="20"/>
              </w:rPr>
            </w:pPr>
            <w:r w:rsidRPr="002B3670">
              <w:rPr>
                <w:b/>
                <w:sz w:val="20"/>
                <w:szCs w:val="20"/>
              </w:rPr>
              <w:t xml:space="preserve">11 &amp; </w:t>
            </w:r>
          </w:p>
          <w:p w14:paraId="7387F7CB" w14:textId="77777777" w:rsidR="00AA239B" w:rsidRPr="002B3670" w:rsidRDefault="00AA239B" w:rsidP="00F945E0">
            <w:pPr>
              <w:rPr>
                <w:b/>
                <w:sz w:val="20"/>
                <w:szCs w:val="20"/>
              </w:rPr>
            </w:pPr>
            <w:r w:rsidRPr="002B3670">
              <w:rPr>
                <w:b/>
                <w:sz w:val="20"/>
                <w:szCs w:val="20"/>
              </w:rPr>
              <w:t>12</w:t>
            </w:r>
          </w:p>
        </w:tc>
        <w:tc>
          <w:tcPr>
            <w:tcW w:w="2572" w:type="dxa"/>
          </w:tcPr>
          <w:p w14:paraId="423A218E" w14:textId="77777777" w:rsidR="00AA239B" w:rsidRPr="002B3670" w:rsidRDefault="00AA239B" w:rsidP="00F945E0">
            <w:pPr>
              <w:rPr>
                <w:b/>
                <w:sz w:val="20"/>
                <w:szCs w:val="20"/>
              </w:rPr>
            </w:pPr>
            <w:r w:rsidRPr="002B3670">
              <w:rPr>
                <w:b/>
                <w:sz w:val="20"/>
                <w:szCs w:val="20"/>
              </w:rPr>
              <w:t>Exercise: Group presentation</w:t>
            </w:r>
          </w:p>
        </w:tc>
        <w:tc>
          <w:tcPr>
            <w:tcW w:w="4365" w:type="dxa"/>
          </w:tcPr>
          <w:p w14:paraId="4B261356" w14:textId="77777777" w:rsidR="00AA239B" w:rsidRPr="002B3670" w:rsidRDefault="00AA239B" w:rsidP="00F945E0">
            <w:pPr>
              <w:rPr>
                <w:sz w:val="20"/>
                <w:szCs w:val="20"/>
              </w:rPr>
            </w:pPr>
            <w:r w:rsidRPr="002B3670">
              <w:rPr>
                <w:sz w:val="20"/>
                <w:szCs w:val="20"/>
              </w:rPr>
              <w:t>Students in groups to prepare/present findings on case studies and to demonstrate ‘advisor skills of analysis/presentation/speech and influencing (also to be submitted in writing)</w:t>
            </w:r>
          </w:p>
        </w:tc>
      </w:tr>
    </w:tbl>
    <w:p w14:paraId="3BEAC3F4" w14:textId="77777777" w:rsidR="00797CAC" w:rsidRDefault="00797CAC" w:rsidP="0012191D">
      <w:pPr>
        <w:rPr>
          <w:b/>
          <w:color w:val="000000" w:themeColor="text1"/>
        </w:rPr>
      </w:pPr>
    </w:p>
    <w:p w14:paraId="1DDC68AE" w14:textId="77777777" w:rsidR="0012191D" w:rsidRPr="0012191D" w:rsidRDefault="0012191D" w:rsidP="0012191D">
      <w:pPr>
        <w:rPr>
          <w:b/>
          <w:color w:val="000000" w:themeColor="text1"/>
        </w:rPr>
      </w:pPr>
      <w:r w:rsidRPr="0012191D">
        <w:rPr>
          <w:b/>
          <w:color w:val="000000" w:themeColor="text1"/>
        </w:rPr>
        <w:t>Mandatory Reading</w:t>
      </w:r>
    </w:p>
    <w:p w14:paraId="2BA8974E" w14:textId="77777777" w:rsidR="0012191D" w:rsidRPr="0012191D" w:rsidRDefault="0012191D" w:rsidP="0012191D">
      <w:pPr>
        <w:rPr>
          <w:color w:val="000000" w:themeColor="text1"/>
        </w:rPr>
      </w:pPr>
    </w:p>
    <w:p w14:paraId="7DC158BC" w14:textId="77777777" w:rsidR="0012191D" w:rsidRPr="0012191D" w:rsidRDefault="0012191D" w:rsidP="0012191D">
      <w:pPr>
        <w:rPr>
          <w:color w:val="000000" w:themeColor="text1"/>
        </w:rPr>
      </w:pPr>
      <w:r w:rsidRPr="0012191D">
        <w:rPr>
          <w:color w:val="000000" w:themeColor="text1"/>
        </w:rPr>
        <w:t>Note: The reading is intended to provide context and initial considerations.  Additional materials will be provided prior to specific sessions.</w:t>
      </w:r>
    </w:p>
    <w:p w14:paraId="7D76167C" w14:textId="77777777" w:rsidR="0012191D" w:rsidRPr="0012191D" w:rsidRDefault="0012191D" w:rsidP="0012191D">
      <w:pPr>
        <w:rPr>
          <w:color w:val="000000" w:themeColor="text1"/>
        </w:rPr>
      </w:pPr>
    </w:p>
    <w:p w14:paraId="36498C5B" w14:textId="77777777" w:rsidR="0012191D" w:rsidRPr="0012191D" w:rsidRDefault="0012191D" w:rsidP="0012191D">
      <w:pPr>
        <w:ind w:firstLine="360"/>
        <w:rPr>
          <w:b/>
          <w:color w:val="000000" w:themeColor="text1"/>
          <w:u w:val="single"/>
        </w:rPr>
      </w:pPr>
      <w:r w:rsidRPr="0012191D">
        <w:rPr>
          <w:b/>
          <w:color w:val="000000" w:themeColor="text1"/>
          <w:u w:val="single"/>
        </w:rPr>
        <w:t>Pre-Course (read before course commences)</w:t>
      </w:r>
    </w:p>
    <w:p w14:paraId="3E9A5BE5" w14:textId="77777777" w:rsidR="0012191D" w:rsidRPr="0012191D" w:rsidRDefault="0012191D" w:rsidP="0012191D">
      <w:pPr>
        <w:rPr>
          <w:color w:val="000000" w:themeColor="text1"/>
          <w:u w:val="single"/>
        </w:rPr>
      </w:pPr>
    </w:p>
    <w:p w14:paraId="7D40B315" w14:textId="2D174750" w:rsidR="0012191D" w:rsidRPr="0012191D" w:rsidRDefault="0012191D" w:rsidP="0012191D">
      <w:pPr>
        <w:pStyle w:val="ListParagraph"/>
        <w:numPr>
          <w:ilvl w:val="0"/>
          <w:numId w:val="6"/>
        </w:numPr>
        <w:spacing w:after="0"/>
        <w:rPr>
          <w:rFonts w:asciiTheme="minorHAnsi" w:hAnsiTheme="minorHAnsi"/>
          <w:color w:val="000000" w:themeColor="text1"/>
          <w:u w:val="single"/>
        </w:rPr>
      </w:pPr>
      <w:r w:rsidRPr="0012191D">
        <w:rPr>
          <w:rFonts w:asciiTheme="minorHAnsi" w:hAnsiTheme="minorHAnsi"/>
          <w:color w:val="000000" w:themeColor="text1"/>
          <w:u w:val="single"/>
        </w:rPr>
        <w:t>https://fba.se/en/how-we-work/research-policy-analysis-and-development/publications/the-political-advisers-handbook</w:t>
      </w:r>
    </w:p>
    <w:p w14:paraId="7EFD133A" w14:textId="77011BF9" w:rsidR="0012191D" w:rsidRPr="0012191D" w:rsidRDefault="00B417CE" w:rsidP="0012191D">
      <w:pPr>
        <w:pStyle w:val="ListParagraph"/>
        <w:numPr>
          <w:ilvl w:val="0"/>
          <w:numId w:val="6"/>
        </w:numPr>
        <w:spacing w:after="0"/>
        <w:rPr>
          <w:rFonts w:asciiTheme="minorHAnsi" w:hAnsiTheme="minorHAnsi"/>
          <w:color w:val="000000" w:themeColor="text1"/>
        </w:rPr>
      </w:pPr>
      <w:hyperlink r:id="rId5" w:history="1">
        <w:r w:rsidR="0012191D" w:rsidRPr="0012191D">
          <w:rPr>
            <w:rStyle w:val="Hyperlink"/>
            <w:rFonts w:asciiTheme="minorHAnsi" w:hAnsiTheme="minorHAnsi"/>
            <w:color w:val="000000" w:themeColor="text1"/>
          </w:rPr>
          <w:t>https://gsdrc.org/topic-guides/safety-security-and-justice/</w:t>
        </w:r>
      </w:hyperlink>
    </w:p>
    <w:p w14:paraId="4DD79E31" w14:textId="77777777" w:rsidR="0012191D" w:rsidRPr="0012191D" w:rsidRDefault="00B417CE" w:rsidP="0012191D">
      <w:pPr>
        <w:pStyle w:val="ListParagraph"/>
        <w:numPr>
          <w:ilvl w:val="0"/>
          <w:numId w:val="6"/>
        </w:numPr>
        <w:spacing w:after="0"/>
        <w:rPr>
          <w:rFonts w:asciiTheme="minorHAnsi" w:hAnsiTheme="minorHAnsi"/>
          <w:color w:val="000000" w:themeColor="text1"/>
        </w:rPr>
      </w:pPr>
      <w:hyperlink r:id="rId6" w:history="1">
        <w:r w:rsidR="0012191D" w:rsidRPr="0012191D">
          <w:rPr>
            <w:rStyle w:val="Hyperlink"/>
            <w:rFonts w:asciiTheme="minorHAnsi" w:hAnsiTheme="minorHAnsi"/>
            <w:color w:val="000000" w:themeColor="text1"/>
          </w:rPr>
          <w:t>https://issat.dcaf.ch/</w:t>
        </w:r>
      </w:hyperlink>
      <w:r w:rsidR="0012191D" w:rsidRPr="0012191D">
        <w:rPr>
          <w:rFonts w:asciiTheme="minorHAnsi" w:hAnsiTheme="minorHAnsi"/>
          <w:color w:val="000000" w:themeColor="text1"/>
        </w:rPr>
        <w:t xml:space="preserve"> SSR in a Nutshell</w:t>
      </w:r>
    </w:p>
    <w:p w14:paraId="218136F1" w14:textId="77777777" w:rsidR="0012191D" w:rsidRPr="0012191D" w:rsidRDefault="0012191D" w:rsidP="0012191D">
      <w:pPr>
        <w:rPr>
          <w:rStyle w:val="Hyperlink"/>
          <w:b/>
          <w:color w:val="000000" w:themeColor="text1"/>
        </w:rPr>
      </w:pPr>
    </w:p>
    <w:p w14:paraId="752578C4" w14:textId="77777777" w:rsidR="0012191D" w:rsidRPr="0012191D" w:rsidRDefault="0012191D" w:rsidP="0012191D">
      <w:pPr>
        <w:ind w:firstLine="360"/>
        <w:rPr>
          <w:rStyle w:val="Hyperlink"/>
          <w:b/>
          <w:color w:val="000000" w:themeColor="text1"/>
        </w:rPr>
      </w:pPr>
      <w:r w:rsidRPr="0012191D">
        <w:rPr>
          <w:rStyle w:val="Hyperlink"/>
          <w:b/>
          <w:color w:val="000000" w:themeColor="text1"/>
        </w:rPr>
        <w:t>Session Reading</w:t>
      </w:r>
    </w:p>
    <w:p w14:paraId="3996E067" w14:textId="77777777" w:rsidR="0012191D" w:rsidRPr="0012191D" w:rsidRDefault="0012191D" w:rsidP="0012191D">
      <w:pPr>
        <w:ind w:firstLine="360"/>
        <w:rPr>
          <w:rStyle w:val="Hyperlink"/>
          <w:b/>
          <w:color w:val="000000" w:themeColor="text1"/>
        </w:rPr>
      </w:pPr>
    </w:p>
    <w:p w14:paraId="6C2BAA27" w14:textId="77777777" w:rsidR="0012191D" w:rsidRPr="0012191D" w:rsidRDefault="0012191D" w:rsidP="0012191D">
      <w:pPr>
        <w:ind w:firstLine="360"/>
        <w:rPr>
          <w:rStyle w:val="Hyperlink"/>
          <w:b/>
          <w:color w:val="000000" w:themeColor="text1"/>
        </w:rPr>
      </w:pPr>
      <w:r w:rsidRPr="0012191D">
        <w:rPr>
          <w:rStyle w:val="Hyperlink"/>
          <w:b/>
          <w:color w:val="000000" w:themeColor="text1"/>
        </w:rPr>
        <w:t>(Sessions 1&amp;2)</w:t>
      </w:r>
    </w:p>
    <w:p w14:paraId="622B9918" w14:textId="77777777" w:rsidR="0012191D" w:rsidRPr="0012191D" w:rsidRDefault="0012191D" w:rsidP="0012191D">
      <w:pPr>
        <w:ind w:firstLine="360"/>
        <w:rPr>
          <w:rStyle w:val="Hyperlink"/>
          <w:b/>
          <w:color w:val="000000" w:themeColor="text1"/>
        </w:rPr>
      </w:pPr>
    </w:p>
    <w:p w14:paraId="50429C10" w14:textId="417B8CAC" w:rsidR="0012191D" w:rsidRPr="0012191D" w:rsidRDefault="00B417CE" w:rsidP="0012191D">
      <w:pPr>
        <w:pStyle w:val="ListParagraph"/>
        <w:numPr>
          <w:ilvl w:val="0"/>
          <w:numId w:val="4"/>
        </w:numPr>
        <w:spacing w:after="0"/>
        <w:rPr>
          <w:rFonts w:asciiTheme="minorHAnsi" w:hAnsiTheme="minorHAnsi"/>
          <w:color w:val="000000" w:themeColor="text1"/>
        </w:rPr>
      </w:pPr>
      <w:hyperlink r:id="rId7" w:history="1">
        <w:r w:rsidR="0012191D" w:rsidRPr="0012191D">
          <w:rPr>
            <w:rStyle w:val="Hyperlink"/>
            <w:rFonts w:asciiTheme="minorHAnsi" w:hAnsiTheme="minorHAnsi"/>
            <w:color w:val="000000" w:themeColor="text1"/>
          </w:rPr>
          <w:t>https://eeas.eu/headquarters/headquarters-homepage/35509/eu-missions-and-operations</w:t>
        </w:r>
      </w:hyperlink>
    </w:p>
    <w:p w14:paraId="2669F7CB" w14:textId="77777777" w:rsidR="0012191D" w:rsidRPr="0012191D" w:rsidRDefault="00B417CE" w:rsidP="0012191D">
      <w:pPr>
        <w:pStyle w:val="ListParagraph"/>
        <w:numPr>
          <w:ilvl w:val="0"/>
          <w:numId w:val="4"/>
        </w:numPr>
        <w:spacing w:after="0"/>
        <w:rPr>
          <w:rFonts w:asciiTheme="minorHAnsi" w:hAnsiTheme="minorHAnsi"/>
          <w:color w:val="000000" w:themeColor="text1"/>
          <w:u w:val="single"/>
        </w:rPr>
      </w:pPr>
      <w:hyperlink r:id="rId8" w:history="1">
        <w:r w:rsidR="0012191D" w:rsidRPr="0012191D">
          <w:rPr>
            <w:rStyle w:val="Hyperlink"/>
            <w:rFonts w:asciiTheme="minorHAnsi" w:hAnsiTheme="minorHAnsi"/>
            <w:color w:val="000000" w:themeColor="text1"/>
          </w:rPr>
          <w:t>https://peacekeeping.un.org/en/department-of-peace-operations</w:t>
        </w:r>
      </w:hyperlink>
      <w:r w:rsidR="0012191D" w:rsidRPr="0012191D">
        <w:rPr>
          <w:rFonts w:asciiTheme="minorHAnsi" w:hAnsiTheme="minorHAnsi"/>
          <w:color w:val="000000" w:themeColor="text1"/>
          <w:u w:val="single"/>
        </w:rPr>
        <w:t xml:space="preserve">  (Current UN Operations)</w:t>
      </w:r>
    </w:p>
    <w:p w14:paraId="4A53E264" w14:textId="77777777" w:rsidR="0012191D" w:rsidRDefault="0012191D" w:rsidP="0012191D">
      <w:pPr>
        <w:rPr>
          <w:color w:val="000000" w:themeColor="text1"/>
          <w:u w:val="single"/>
        </w:rPr>
      </w:pPr>
    </w:p>
    <w:p w14:paraId="1A1EB4D6" w14:textId="2852F022" w:rsidR="00776D8E" w:rsidRDefault="00776D8E" w:rsidP="00776D8E">
      <w:pPr>
        <w:ind w:left="360"/>
        <w:rPr>
          <w:b/>
          <w:color w:val="000000" w:themeColor="text1"/>
          <w:u w:val="single"/>
        </w:rPr>
      </w:pPr>
      <w:r w:rsidRPr="00776D8E">
        <w:rPr>
          <w:b/>
          <w:color w:val="000000" w:themeColor="text1"/>
          <w:u w:val="single"/>
        </w:rPr>
        <w:t>(Sessions 3&amp;4)</w:t>
      </w:r>
    </w:p>
    <w:p w14:paraId="10D2FDA1" w14:textId="77777777" w:rsidR="00776D8E" w:rsidRPr="00776D8E" w:rsidRDefault="00776D8E" w:rsidP="00776D8E">
      <w:pPr>
        <w:ind w:left="360"/>
        <w:rPr>
          <w:b/>
          <w:color w:val="000000" w:themeColor="text1"/>
          <w:u w:val="single"/>
        </w:rPr>
      </w:pPr>
    </w:p>
    <w:p w14:paraId="6DAAE0F8" w14:textId="060D3EDA" w:rsidR="00776D8E" w:rsidRDefault="00776D8E" w:rsidP="00776D8E">
      <w:pPr>
        <w:pStyle w:val="ListParagraph"/>
        <w:numPr>
          <w:ilvl w:val="0"/>
          <w:numId w:val="9"/>
        </w:numPr>
        <w:spacing w:after="0"/>
        <w:rPr>
          <w:rFonts w:asciiTheme="minorHAnsi" w:hAnsiTheme="minorHAnsi"/>
          <w:color w:val="000000" w:themeColor="text1"/>
          <w:u w:val="single"/>
        </w:rPr>
      </w:pPr>
      <w:r w:rsidRPr="00776D8E">
        <w:rPr>
          <w:rStyle w:val="Hyperlink"/>
          <w:color w:val="000000" w:themeColor="text1"/>
        </w:rPr>
        <w:t>(</w:t>
      </w:r>
      <w:r w:rsidRPr="008856F0">
        <w:rPr>
          <w:rStyle w:val="Hyperlink"/>
          <w:rFonts w:asciiTheme="minorHAnsi" w:hAnsiTheme="minorHAnsi"/>
          <w:i/>
          <w:color w:val="000000" w:themeColor="text1"/>
        </w:rPr>
        <w:t>Course pre-read</w:t>
      </w:r>
      <w:r w:rsidRPr="00776D8E">
        <w:rPr>
          <w:rStyle w:val="Hyperlink"/>
          <w:color w:val="000000" w:themeColor="text1"/>
        </w:rPr>
        <w:t xml:space="preserve">) </w:t>
      </w:r>
      <w:hyperlink r:id="rId9" w:history="1">
        <w:r w:rsidRPr="00776D8E">
          <w:rPr>
            <w:rStyle w:val="Hyperlink"/>
            <w:rFonts w:asciiTheme="minorHAnsi" w:hAnsiTheme="minorHAnsi"/>
            <w:color w:val="000000" w:themeColor="text1"/>
          </w:rPr>
          <w:t>https://fba.se/en/how-we-work/research-policy-analysis-and-development/publications/the-political-advisers-handbook</w:t>
        </w:r>
      </w:hyperlink>
    </w:p>
    <w:p w14:paraId="5C64161B" w14:textId="47ADA342" w:rsidR="00B417CE" w:rsidRPr="00776D8E" w:rsidRDefault="00B417CE" w:rsidP="00776D8E">
      <w:pPr>
        <w:pStyle w:val="ListParagraph"/>
        <w:numPr>
          <w:ilvl w:val="0"/>
          <w:numId w:val="9"/>
        </w:numPr>
        <w:spacing w:after="0"/>
        <w:rPr>
          <w:rFonts w:asciiTheme="minorHAnsi" w:hAnsiTheme="minorHAnsi"/>
          <w:color w:val="000000" w:themeColor="text1"/>
          <w:u w:val="single"/>
        </w:rPr>
      </w:pPr>
      <w:r>
        <w:rPr>
          <w:rFonts w:asciiTheme="minorHAnsi" w:hAnsiTheme="minorHAnsi"/>
          <w:color w:val="000000" w:themeColor="text1"/>
          <w:u w:val="single"/>
        </w:rPr>
        <w:t>USIP: The Role of the Ministerial Advisor in Security Sector Reform</w:t>
      </w:r>
    </w:p>
    <w:p w14:paraId="7B4E1440" w14:textId="6D02FB82" w:rsidR="00B417CE" w:rsidRPr="00B417CE" w:rsidRDefault="00B417CE" w:rsidP="00B417CE">
      <w:pPr>
        <w:pStyle w:val="ListParagraph"/>
        <w:numPr>
          <w:ilvl w:val="0"/>
          <w:numId w:val="9"/>
        </w:numPr>
        <w:spacing w:after="0"/>
        <w:rPr>
          <w:rFonts w:asciiTheme="minorHAnsi" w:hAnsiTheme="minorHAnsi"/>
          <w:color w:val="000000" w:themeColor="text1"/>
          <w:u w:val="single"/>
        </w:rPr>
      </w:pPr>
      <w:hyperlink r:id="rId10" w:history="1">
        <w:r w:rsidRPr="00B417CE">
          <w:rPr>
            <w:rStyle w:val="Hyperlink"/>
            <w:rFonts w:asciiTheme="minorHAnsi" w:hAnsiTheme="minorHAnsi"/>
            <w:color w:val="000000" w:themeColor="text1"/>
          </w:rPr>
          <w:t>https://www.shrm.org/resourcesandtools/tools-and-samples/toolkits/pages/developingandsustaininghigh-performanceworkteams.aspx</w:t>
        </w:r>
      </w:hyperlink>
      <w:bookmarkStart w:id="0" w:name="_GoBack"/>
      <w:bookmarkEnd w:id="0"/>
    </w:p>
    <w:p w14:paraId="0F20E049" w14:textId="5AB85BE9" w:rsidR="0012191D" w:rsidRPr="0012191D" w:rsidRDefault="0012191D" w:rsidP="0012191D">
      <w:pPr>
        <w:ind w:firstLine="360"/>
        <w:rPr>
          <w:rStyle w:val="Hyperlink"/>
          <w:b/>
          <w:color w:val="000000" w:themeColor="text1"/>
        </w:rPr>
      </w:pPr>
    </w:p>
    <w:p w14:paraId="7B490EB5" w14:textId="77777777" w:rsidR="0012191D" w:rsidRPr="0012191D" w:rsidRDefault="0012191D" w:rsidP="0012191D">
      <w:pPr>
        <w:ind w:firstLine="360"/>
        <w:rPr>
          <w:rStyle w:val="Hyperlink"/>
          <w:b/>
          <w:color w:val="000000" w:themeColor="text1"/>
        </w:rPr>
      </w:pPr>
      <w:r w:rsidRPr="0012191D">
        <w:rPr>
          <w:rStyle w:val="Hyperlink"/>
          <w:b/>
          <w:color w:val="000000" w:themeColor="text1"/>
        </w:rPr>
        <w:t>(Sessions 5/6)</w:t>
      </w:r>
    </w:p>
    <w:p w14:paraId="3CC62CD1" w14:textId="77777777" w:rsidR="0012191D" w:rsidRPr="0012191D" w:rsidRDefault="0012191D" w:rsidP="0012191D">
      <w:pPr>
        <w:rPr>
          <w:color w:val="000000" w:themeColor="text1"/>
        </w:rPr>
      </w:pPr>
    </w:p>
    <w:p w14:paraId="608A3472" w14:textId="2525994A" w:rsidR="0012191D" w:rsidRPr="00AA239B" w:rsidRDefault="00B417CE" w:rsidP="00AA239B">
      <w:pPr>
        <w:pStyle w:val="ListParagraph"/>
        <w:numPr>
          <w:ilvl w:val="0"/>
          <w:numId w:val="5"/>
        </w:numPr>
        <w:spacing w:after="0"/>
        <w:rPr>
          <w:rStyle w:val="Hyperlink"/>
          <w:rFonts w:asciiTheme="minorHAnsi" w:hAnsiTheme="minorHAnsi"/>
          <w:color w:val="000000" w:themeColor="text1"/>
        </w:rPr>
      </w:pPr>
      <w:hyperlink r:id="rId11" w:history="1">
        <w:r w:rsidR="0012191D" w:rsidRPr="0012191D">
          <w:rPr>
            <w:rStyle w:val="Hyperlink"/>
            <w:rFonts w:asciiTheme="minorHAnsi" w:hAnsiTheme="minorHAnsi"/>
            <w:color w:val="000000" w:themeColor="text1"/>
          </w:rPr>
          <w:t>www.idrc.ca/sites/default/files/idrcpolicybrieftoolkit.pdf</w:t>
        </w:r>
      </w:hyperlink>
    </w:p>
    <w:p w14:paraId="310AE28A" w14:textId="77777777" w:rsidR="0012191D" w:rsidRPr="0012191D" w:rsidRDefault="0012191D" w:rsidP="0012191D">
      <w:pPr>
        <w:pStyle w:val="ListParagraph"/>
        <w:numPr>
          <w:ilvl w:val="0"/>
          <w:numId w:val="5"/>
        </w:numPr>
        <w:spacing w:after="0"/>
        <w:rPr>
          <w:rStyle w:val="Hyperlink"/>
          <w:rFonts w:asciiTheme="minorHAnsi" w:hAnsiTheme="minorHAnsi"/>
          <w:color w:val="000000" w:themeColor="text1"/>
        </w:rPr>
      </w:pPr>
      <w:r w:rsidRPr="0012191D">
        <w:rPr>
          <w:rStyle w:val="Hyperlink"/>
          <w:rFonts w:asciiTheme="minorHAnsi" w:hAnsiTheme="minorHAnsi"/>
          <w:color w:val="000000" w:themeColor="text1"/>
        </w:rPr>
        <w:t>https://www.researchtoaction.org/2310/07how-to-write-actionable-policy-recommendations</w:t>
      </w:r>
    </w:p>
    <w:p w14:paraId="09A19BE8" w14:textId="77777777" w:rsidR="0012191D" w:rsidRPr="0012191D" w:rsidRDefault="0012191D" w:rsidP="0012191D">
      <w:pPr>
        <w:rPr>
          <w:color w:val="000000" w:themeColor="text1"/>
        </w:rPr>
      </w:pPr>
    </w:p>
    <w:p w14:paraId="17E6C99B" w14:textId="77777777" w:rsidR="0012191D" w:rsidRPr="0012191D" w:rsidRDefault="0012191D" w:rsidP="0012191D">
      <w:pPr>
        <w:rPr>
          <w:b/>
          <w:color w:val="000000" w:themeColor="text1"/>
        </w:rPr>
      </w:pPr>
      <w:r w:rsidRPr="0012191D">
        <w:rPr>
          <w:b/>
          <w:color w:val="000000" w:themeColor="text1"/>
        </w:rPr>
        <w:t xml:space="preserve">      (Sessions 7&amp;8)</w:t>
      </w:r>
    </w:p>
    <w:p w14:paraId="6DF58D09" w14:textId="1E1E7DB7" w:rsidR="0012191D" w:rsidRPr="00AA239B" w:rsidRDefault="00B417CE" w:rsidP="0012191D">
      <w:pPr>
        <w:pStyle w:val="ListParagraph"/>
        <w:numPr>
          <w:ilvl w:val="0"/>
          <w:numId w:val="5"/>
        </w:numPr>
        <w:spacing w:after="0"/>
        <w:rPr>
          <w:rFonts w:asciiTheme="minorHAnsi" w:hAnsiTheme="minorHAnsi"/>
          <w:color w:val="000000" w:themeColor="text1"/>
        </w:rPr>
      </w:pPr>
      <w:hyperlink r:id="rId12" w:history="1">
        <w:r w:rsidR="0012191D" w:rsidRPr="0012191D">
          <w:rPr>
            <w:rStyle w:val="Hyperlink"/>
            <w:rFonts w:asciiTheme="minorHAnsi" w:hAnsiTheme="minorHAnsi"/>
            <w:color w:val="000000" w:themeColor="text1"/>
          </w:rPr>
          <w:t>https://www.forbes.com/sites/jeffschmitt/2013/07/16/10-keys-to-writing-a-speech/</w:t>
        </w:r>
      </w:hyperlink>
    </w:p>
    <w:p w14:paraId="00309519" w14:textId="77777777" w:rsidR="0012191D" w:rsidRPr="0012191D" w:rsidRDefault="0012191D" w:rsidP="0012191D">
      <w:pPr>
        <w:pStyle w:val="ListParagraph"/>
        <w:numPr>
          <w:ilvl w:val="0"/>
          <w:numId w:val="5"/>
        </w:numPr>
        <w:spacing w:after="0"/>
        <w:rPr>
          <w:rFonts w:asciiTheme="minorHAnsi" w:hAnsiTheme="minorHAnsi"/>
          <w:color w:val="000000" w:themeColor="text1"/>
          <w:u w:val="single"/>
        </w:rPr>
      </w:pPr>
      <w:r w:rsidRPr="0012191D">
        <w:rPr>
          <w:rFonts w:asciiTheme="minorHAnsi" w:hAnsiTheme="minorHAnsi"/>
          <w:color w:val="000000" w:themeColor="text1"/>
          <w:u w:val="single"/>
        </w:rPr>
        <w:t>https://www.pon.harvard.edu/daily/dispute-resolution/3-negotiation-strategies-for-conflict-resolution/</w:t>
      </w:r>
    </w:p>
    <w:p w14:paraId="62D49940" w14:textId="77777777" w:rsidR="0012191D" w:rsidRPr="0012191D" w:rsidRDefault="0012191D" w:rsidP="0012191D">
      <w:pPr>
        <w:rPr>
          <w:color w:val="000000" w:themeColor="text1"/>
        </w:rPr>
      </w:pPr>
    </w:p>
    <w:p w14:paraId="7F457939" w14:textId="77777777" w:rsidR="0012191D" w:rsidRPr="0012191D" w:rsidRDefault="0012191D" w:rsidP="0012191D">
      <w:pPr>
        <w:rPr>
          <w:b/>
          <w:color w:val="000000" w:themeColor="text1"/>
        </w:rPr>
      </w:pPr>
    </w:p>
    <w:p w14:paraId="27488BFA" w14:textId="77777777" w:rsidR="0012191D" w:rsidRPr="0012191D" w:rsidRDefault="0012191D" w:rsidP="0012191D">
      <w:pPr>
        <w:rPr>
          <w:b/>
          <w:color w:val="000000" w:themeColor="text1"/>
          <w:u w:val="single"/>
        </w:rPr>
      </w:pPr>
      <w:r w:rsidRPr="0012191D">
        <w:rPr>
          <w:b/>
          <w:color w:val="000000" w:themeColor="text1"/>
          <w:u w:val="single"/>
        </w:rPr>
        <w:t>Optional Reading</w:t>
      </w:r>
    </w:p>
    <w:p w14:paraId="252EAA7F" w14:textId="77777777" w:rsidR="0012191D" w:rsidRPr="0012191D" w:rsidRDefault="0012191D" w:rsidP="0012191D">
      <w:pPr>
        <w:rPr>
          <w:color w:val="000000" w:themeColor="text1"/>
        </w:rPr>
      </w:pPr>
    </w:p>
    <w:p w14:paraId="2A8F33CC" w14:textId="52CF0433" w:rsidR="0012191D" w:rsidRPr="0012191D" w:rsidRDefault="00B417CE" w:rsidP="0012191D">
      <w:pPr>
        <w:pStyle w:val="ListParagraph"/>
        <w:numPr>
          <w:ilvl w:val="0"/>
          <w:numId w:val="4"/>
        </w:numPr>
        <w:spacing w:after="0"/>
        <w:rPr>
          <w:rFonts w:asciiTheme="minorHAnsi" w:hAnsiTheme="minorHAnsi"/>
          <w:color w:val="000000" w:themeColor="text1"/>
          <w:u w:val="single"/>
          <w:shd w:val="clear" w:color="auto" w:fill="FFFFFF"/>
        </w:rPr>
      </w:pPr>
      <w:hyperlink r:id="rId13" w:tgtFrame="_blank" w:history="1">
        <w:r w:rsidR="0012191D" w:rsidRPr="0012191D">
          <w:rPr>
            <w:rFonts w:asciiTheme="minorHAnsi" w:hAnsiTheme="minorHAnsi"/>
            <w:color w:val="000000" w:themeColor="text1"/>
            <w:u w:val="single"/>
            <w:shd w:val="clear" w:color="auto" w:fill="FFFFFF"/>
          </w:rPr>
          <w:t>https://www.sipri.org/sites/default/files/2018-10/sipripp47_pko_gender_data.pdf</w:t>
        </w:r>
      </w:hyperlink>
    </w:p>
    <w:p w14:paraId="52C2ED54" w14:textId="77777777" w:rsidR="0012191D" w:rsidRPr="0012191D" w:rsidRDefault="00B417CE" w:rsidP="0012191D">
      <w:pPr>
        <w:pStyle w:val="ListParagraph"/>
        <w:numPr>
          <w:ilvl w:val="0"/>
          <w:numId w:val="4"/>
        </w:numPr>
        <w:spacing w:after="0"/>
        <w:rPr>
          <w:rFonts w:asciiTheme="minorHAnsi" w:hAnsiTheme="minorHAnsi"/>
          <w:color w:val="000000" w:themeColor="text1"/>
          <w:u w:val="single"/>
          <w:shd w:val="clear" w:color="auto" w:fill="FFFFFF"/>
        </w:rPr>
      </w:pPr>
      <w:hyperlink r:id="rId14" w:history="1">
        <w:r w:rsidR="0012191D" w:rsidRPr="0012191D">
          <w:rPr>
            <w:rStyle w:val="Hyperlink"/>
            <w:rFonts w:asciiTheme="minorHAnsi" w:hAnsiTheme="minorHAnsi"/>
            <w:color w:val="000000" w:themeColor="text1"/>
            <w:shd w:val="clear" w:color="auto" w:fill="FFFFFF"/>
          </w:rPr>
          <w:t>http://conflictsensitivity.org/other_publication/conflict-analysis-tools/</w:t>
        </w:r>
      </w:hyperlink>
    </w:p>
    <w:p w14:paraId="1B178FA7" w14:textId="77777777" w:rsidR="0012191D" w:rsidRPr="0012191D" w:rsidRDefault="0012191D" w:rsidP="0012191D">
      <w:pPr>
        <w:rPr>
          <w:rFonts w:eastAsia="Times New Roman" w:cs="Arial"/>
          <w:color w:val="000000" w:themeColor="text1"/>
          <w:u w:val="single"/>
          <w:shd w:val="clear" w:color="auto" w:fill="FFFFFF"/>
        </w:rPr>
      </w:pPr>
    </w:p>
    <w:p w14:paraId="6CB75323" w14:textId="3F53129E" w:rsidR="0012191D" w:rsidRPr="0012191D" w:rsidRDefault="0012191D" w:rsidP="0012191D">
      <w:pPr>
        <w:pStyle w:val="ListParagraph"/>
        <w:numPr>
          <w:ilvl w:val="0"/>
          <w:numId w:val="4"/>
        </w:numPr>
        <w:spacing w:after="0"/>
        <w:rPr>
          <w:rFonts w:asciiTheme="minorHAnsi" w:hAnsiTheme="minorHAnsi"/>
          <w:color w:val="000000" w:themeColor="text1"/>
          <w:u w:val="single"/>
          <w:shd w:val="clear" w:color="auto" w:fill="FFFFFF"/>
        </w:rPr>
      </w:pPr>
      <w:r w:rsidRPr="0012191D">
        <w:rPr>
          <w:rFonts w:asciiTheme="minorHAnsi" w:hAnsiTheme="minorHAnsi"/>
          <w:color w:val="000000" w:themeColor="text1"/>
          <w:u w:val="single"/>
          <w:shd w:val="clear" w:color="auto" w:fill="FFFFFF"/>
        </w:rPr>
        <w:t>https://www.saferworld.org.uk/resources/publications/806-community-security-handbook</w:t>
      </w:r>
    </w:p>
    <w:p w14:paraId="3568C7E6" w14:textId="5AFDB826" w:rsidR="0012191D" w:rsidRPr="0012191D" w:rsidRDefault="00B417CE" w:rsidP="0012191D">
      <w:pPr>
        <w:pStyle w:val="ListParagraph"/>
        <w:numPr>
          <w:ilvl w:val="0"/>
          <w:numId w:val="4"/>
        </w:numPr>
        <w:spacing w:after="0"/>
        <w:rPr>
          <w:rFonts w:asciiTheme="minorHAnsi" w:hAnsiTheme="minorHAnsi" w:cs="Times New Roman"/>
          <w:color w:val="000000" w:themeColor="text1"/>
          <w:u w:val="single"/>
        </w:rPr>
      </w:pPr>
      <w:hyperlink r:id="rId15" w:history="1">
        <w:r w:rsidR="0012191D" w:rsidRPr="0012191D">
          <w:rPr>
            <w:rStyle w:val="Hyperlink"/>
            <w:rFonts w:asciiTheme="minorHAnsi" w:hAnsiTheme="minorHAnsi" w:cs="Times New Roman"/>
            <w:color w:val="000000" w:themeColor="text1"/>
          </w:rPr>
          <w:t>https://www.gov.uk/government/publications/the-uk-governments-approach-to-stabilisation-a-guide-for-policy-makers-and-practitioners</w:t>
        </w:r>
      </w:hyperlink>
    </w:p>
    <w:p w14:paraId="41D36BFC" w14:textId="14BED779" w:rsidR="0012191D" w:rsidRPr="0012191D" w:rsidRDefault="0012191D" w:rsidP="0012191D">
      <w:pPr>
        <w:pStyle w:val="ListParagraph"/>
        <w:numPr>
          <w:ilvl w:val="0"/>
          <w:numId w:val="4"/>
        </w:numPr>
        <w:spacing w:after="0"/>
        <w:rPr>
          <w:rFonts w:asciiTheme="minorHAnsi" w:hAnsiTheme="minorHAnsi" w:cs="Times New Roman"/>
          <w:color w:val="000000" w:themeColor="text1"/>
          <w:u w:val="single"/>
        </w:rPr>
      </w:pPr>
      <w:r w:rsidRPr="0012191D">
        <w:rPr>
          <w:rFonts w:asciiTheme="minorHAnsi" w:hAnsiTheme="minorHAnsi"/>
          <w:color w:val="000000" w:themeColor="text1"/>
        </w:rPr>
        <w:t>UN Security Council resolution 1325 on Women, peace and security /RES/1325) - 2000</w:t>
      </w:r>
    </w:p>
    <w:p w14:paraId="0EB1A3C2" w14:textId="7C83EF71" w:rsidR="0012191D" w:rsidRPr="0012191D" w:rsidRDefault="00B417CE" w:rsidP="0012191D">
      <w:pPr>
        <w:pStyle w:val="ListParagraph"/>
        <w:numPr>
          <w:ilvl w:val="0"/>
          <w:numId w:val="4"/>
        </w:numPr>
        <w:spacing w:after="0"/>
        <w:rPr>
          <w:rFonts w:asciiTheme="minorHAnsi" w:hAnsiTheme="minorHAnsi"/>
          <w:color w:val="000000" w:themeColor="text1"/>
        </w:rPr>
      </w:pPr>
      <w:hyperlink r:id="rId16" w:tgtFrame="_blank" w:history="1">
        <w:r w:rsidR="0012191D" w:rsidRPr="0012191D">
          <w:rPr>
            <w:rStyle w:val="Hyperlink"/>
            <w:rFonts w:asciiTheme="minorHAnsi" w:hAnsiTheme="minorHAnsi"/>
            <w:bCs/>
            <w:color w:val="000000" w:themeColor="text1"/>
            <w:u w:val="none"/>
            <w:shd w:val="clear" w:color="auto" w:fill="FFFFFF"/>
          </w:rPr>
          <w:t>Securing States and societies: strengthening the United Nations comprehensive support to security sector reform</w:t>
        </w:r>
      </w:hyperlink>
      <w:r w:rsidR="0012191D" w:rsidRPr="0012191D">
        <w:rPr>
          <w:rFonts w:asciiTheme="minorHAnsi" w:hAnsiTheme="minorHAnsi"/>
          <w:color w:val="000000" w:themeColor="text1"/>
          <w:shd w:val="clear" w:color="auto" w:fill="FFFFFF"/>
        </w:rPr>
        <w:t> - Second Report of the UN Secretary-General (S/2013/480), 2013</w:t>
      </w:r>
    </w:p>
    <w:p w14:paraId="78DC0944" w14:textId="6690F002" w:rsidR="0012191D" w:rsidRPr="0012191D" w:rsidRDefault="0012191D" w:rsidP="0012191D">
      <w:pPr>
        <w:pStyle w:val="ListParagraph"/>
        <w:numPr>
          <w:ilvl w:val="0"/>
          <w:numId w:val="4"/>
        </w:numPr>
        <w:shd w:val="clear" w:color="auto" w:fill="FFFFFF"/>
        <w:spacing w:before="100" w:beforeAutospacing="1" w:after="48"/>
        <w:rPr>
          <w:rFonts w:asciiTheme="minorHAnsi" w:hAnsiTheme="minorHAnsi"/>
          <w:color w:val="000000" w:themeColor="text1"/>
        </w:rPr>
      </w:pPr>
      <w:r w:rsidRPr="0012191D">
        <w:rPr>
          <w:rFonts w:asciiTheme="minorHAnsi" w:hAnsiTheme="minorHAnsi"/>
          <w:color w:val="000000" w:themeColor="text1"/>
        </w:rPr>
        <w:t>DAC Handbook on Security System Reform-Supporting Security &amp;Justice-OECD DAC,2007</w:t>
      </w:r>
    </w:p>
    <w:p w14:paraId="70FC0445" w14:textId="7000A8BD" w:rsidR="0012191D" w:rsidRPr="00AA239B" w:rsidRDefault="00B417CE" w:rsidP="0012191D">
      <w:pPr>
        <w:pStyle w:val="ListParagraph"/>
        <w:numPr>
          <w:ilvl w:val="0"/>
          <w:numId w:val="4"/>
        </w:numPr>
        <w:spacing w:after="0"/>
        <w:rPr>
          <w:rFonts w:asciiTheme="minorHAnsi" w:hAnsiTheme="minorHAnsi"/>
          <w:color w:val="000000" w:themeColor="text1"/>
        </w:rPr>
      </w:pPr>
      <w:hyperlink r:id="rId17" w:history="1">
        <w:r w:rsidR="0012191D" w:rsidRPr="0012191D">
          <w:rPr>
            <w:rStyle w:val="Hyperlink"/>
            <w:rFonts w:asciiTheme="minorHAnsi" w:hAnsiTheme="minorHAnsi"/>
            <w:color w:val="000000" w:themeColor="text1"/>
          </w:rPr>
          <w:t>http://www.peaceau.org/uploads/au-policy-framework-on-security-sector-reform-ae-ssr.pdf</w:t>
        </w:r>
      </w:hyperlink>
    </w:p>
    <w:p w14:paraId="2A9C8466" w14:textId="7CB728F2" w:rsidR="0012191D" w:rsidRPr="0012191D" w:rsidRDefault="0012191D" w:rsidP="0012191D">
      <w:pPr>
        <w:pStyle w:val="ListParagraph"/>
        <w:widowControl w:val="0"/>
        <w:numPr>
          <w:ilvl w:val="0"/>
          <w:numId w:val="4"/>
        </w:numPr>
        <w:autoSpaceDE w:val="0"/>
        <w:autoSpaceDN w:val="0"/>
        <w:adjustRightInd w:val="0"/>
        <w:spacing w:after="240" w:line="276" w:lineRule="auto"/>
        <w:rPr>
          <w:rFonts w:asciiTheme="minorHAnsi" w:hAnsiTheme="minorHAnsi" w:cs="Times"/>
          <w:color w:val="000000" w:themeColor="text1"/>
        </w:rPr>
      </w:pPr>
      <w:r w:rsidRPr="0012191D">
        <w:rPr>
          <w:rFonts w:asciiTheme="minorHAnsi" w:hAnsiTheme="minorHAnsi"/>
          <w:color w:val="000000" w:themeColor="text1"/>
        </w:rPr>
        <w:t xml:space="preserve">Democratic Progress Institute: </w:t>
      </w:r>
      <w:r w:rsidRPr="0012191D">
        <w:rPr>
          <w:rFonts w:asciiTheme="minorHAnsi" w:hAnsiTheme="minorHAnsi" w:cs="Times"/>
          <w:bCs/>
          <w:color w:val="000000" w:themeColor="text1"/>
        </w:rPr>
        <w:t>Security Sector Reform in Transitioning Environments: Potential and Challenges</w:t>
      </w:r>
      <w:r w:rsidRPr="0012191D">
        <w:rPr>
          <w:rFonts w:asciiTheme="minorHAnsi" w:eastAsia="MS Mincho" w:hAnsiTheme="minorHAnsi" w:cs="MS Mincho"/>
          <w:bCs/>
          <w:color w:val="000000" w:themeColor="text1"/>
        </w:rPr>
        <w:t xml:space="preserve"> </w:t>
      </w:r>
      <w:r w:rsidRPr="0012191D">
        <w:rPr>
          <w:rFonts w:asciiTheme="minorHAnsi" w:hAnsiTheme="minorHAnsi" w:cs="Times"/>
          <w:bCs/>
          <w:color w:val="000000" w:themeColor="text1"/>
        </w:rPr>
        <w:t xml:space="preserve">to Peace-building and Post-Conflict Transformation </w:t>
      </w:r>
    </w:p>
    <w:p w14:paraId="519001D7" w14:textId="77777777" w:rsidR="0012191D" w:rsidRPr="0012191D" w:rsidRDefault="0012191D" w:rsidP="0012191D">
      <w:pPr>
        <w:pStyle w:val="ListParagraph"/>
        <w:numPr>
          <w:ilvl w:val="0"/>
          <w:numId w:val="4"/>
        </w:numPr>
        <w:spacing w:after="0"/>
        <w:rPr>
          <w:rFonts w:asciiTheme="minorHAnsi" w:hAnsiTheme="minorHAnsi"/>
          <w:color w:val="000000" w:themeColor="text1"/>
        </w:rPr>
      </w:pPr>
      <w:r w:rsidRPr="0012191D">
        <w:rPr>
          <w:rFonts w:asciiTheme="minorHAnsi" w:hAnsiTheme="minorHAnsi"/>
          <w:color w:val="000000" w:themeColor="text1"/>
        </w:rPr>
        <w:t>(Toft. 2018) https://www.theigc.org/publication/legitimacy-chain-approach-security-sector-reform-working-citizens-states/           A legitimacy chain approach to SSS: Working for citizens and states</w:t>
      </w:r>
    </w:p>
    <w:p w14:paraId="0FBB41EA" w14:textId="77777777" w:rsidR="0012191D" w:rsidRPr="0012191D" w:rsidRDefault="0012191D" w:rsidP="00AB4697">
      <w:pPr>
        <w:shd w:val="clear" w:color="auto" w:fill="FFFFFF"/>
        <w:spacing w:after="360"/>
        <w:rPr>
          <w:rFonts w:eastAsia="Times New Roman" w:cs="Open Sans"/>
          <w:color w:val="000000"/>
        </w:rPr>
      </w:pPr>
    </w:p>
    <w:p w14:paraId="37AAFC77" w14:textId="77777777" w:rsidR="00AB4697" w:rsidRPr="0012191D" w:rsidRDefault="00AB4697" w:rsidP="00CF018A">
      <w:pPr>
        <w:shd w:val="clear" w:color="auto" w:fill="FFFFFF"/>
        <w:spacing w:after="360"/>
        <w:rPr>
          <w:rFonts w:eastAsia="Times New Roman" w:cs="Open Sans"/>
          <w:color w:val="000000"/>
        </w:rPr>
      </w:pPr>
    </w:p>
    <w:p w14:paraId="35A432FA" w14:textId="77777777" w:rsidR="00AB4697" w:rsidRPr="0012191D" w:rsidRDefault="00AB4697" w:rsidP="00CF018A">
      <w:pPr>
        <w:shd w:val="clear" w:color="auto" w:fill="FFFFFF"/>
        <w:spacing w:after="360"/>
        <w:rPr>
          <w:rFonts w:eastAsia="Times New Roman" w:cs="Open Sans"/>
          <w:color w:val="000000"/>
        </w:rPr>
      </w:pPr>
    </w:p>
    <w:p w14:paraId="7744812D" w14:textId="77777777" w:rsidR="00CF018A" w:rsidRPr="0012191D" w:rsidRDefault="00CF018A">
      <w:pPr>
        <w:rPr>
          <w:b/>
        </w:rPr>
      </w:pPr>
    </w:p>
    <w:sectPr w:rsidR="00CF018A" w:rsidRPr="0012191D" w:rsidSect="002C0A06">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Menlo Regular"/>
    <w:charset w:val="00"/>
    <w:family w:val="swiss"/>
    <w:pitch w:val="variable"/>
    <w:sig w:usb0="E00002EF" w:usb1="4000205B" w:usb2="00000028"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B67"/>
    <w:multiLevelType w:val="multilevel"/>
    <w:tmpl w:val="588C8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3403B"/>
    <w:multiLevelType w:val="hybridMultilevel"/>
    <w:tmpl w:val="9988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B1FB6"/>
    <w:multiLevelType w:val="hybridMultilevel"/>
    <w:tmpl w:val="9ED28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0B1987"/>
    <w:multiLevelType w:val="hybridMultilevel"/>
    <w:tmpl w:val="01628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726AD9"/>
    <w:multiLevelType w:val="hybridMultilevel"/>
    <w:tmpl w:val="C17A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D4DEC"/>
    <w:multiLevelType w:val="hybridMultilevel"/>
    <w:tmpl w:val="46F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21663"/>
    <w:multiLevelType w:val="hybridMultilevel"/>
    <w:tmpl w:val="0BD4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32A1E"/>
    <w:multiLevelType w:val="hybridMultilevel"/>
    <w:tmpl w:val="864C99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09D3705"/>
    <w:multiLevelType w:val="hybridMultilevel"/>
    <w:tmpl w:val="0130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AA"/>
    <w:rsid w:val="000E03AA"/>
    <w:rsid w:val="0012191D"/>
    <w:rsid w:val="00223197"/>
    <w:rsid w:val="002C0A06"/>
    <w:rsid w:val="003539C9"/>
    <w:rsid w:val="0046343F"/>
    <w:rsid w:val="0048205F"/>
    <w:rsid w:val="00490AD0"/>
    <w:rsid w:val="005272BA"/>
    <w:rsid w:val="005D2B44"/>
    <w:rsid w:val="005F539D"/>
    <w:rsid w:val="00637647"/>
    <w:rsid w:val="00734875"/>
    <w:rsid w:val="00776D8E"/>
    <w:rsid w:val="00797CAC"/>
    <w:rsid w:val="007D2B04"/>
    <w:rsid w:val="007E6AE5"/>
    <w:rsid w:val="00820A31"/>
    <w:rsid w:val="00880B3B"/>
    <w:rsid w:val="008856F0"/>
    <w:rsid w:val="0098790E"/>
    <w:rsid w:val="009D3BA8"/>
    <w:rsid w:val="00A4671D"/>
    <w:rsid w:val="00AA239B"/>
    <w:rsid w:val="00AB4697"/>
    <w:rsid w:val="00B417CE"/>
    <w:rsid w:val="00B61B3C"/>
    <w:rsid w:val="00B65BAD"/>
    <w:rsid w:val="00CA36DC"/>
    <w:rsid w:val="00CC5971"/>
    <w:rsid w:val="00CF018A"/>
    <w:rsid w:val="00D74D4B"/>
    <w:rsid w:val="00D83ECE"/>
    <w:rsid w:val="00DA27DF"/>
    <w:rsid w:val="00EE3F34"/>
    <w:rsid w:val="00FF1E7A"/>
    <w:rsid w:val="00FF49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C9D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4979"/>
    <w:rPr>
      <w:sz w:val="16"/>
      <w:szCs w:val="16"/>
    </w:rPr>
  </w:style>
  <w:style w:type="paragraph" w:styleId="CommentText">
    <w:name w:val="annotation text"/>
    <w:basedOn w:val="Normal"/>
    <w:link w:val="CommentTextChar"/>
    <w:uiPriority w:val="99"/>
    <w:semiHidden/>
    <w:unhideWhenUsed/>
    <w:rsid w:val="00FF4979"/>
    <w:rPr>
      <w:sz w:val="20"/>
      <w:szCs w:val="20"/>
    </w:rPr>
  </w:style>
  <w:style w:type="character" w:customStyle="1" w:styleId="CommentTextChar">
    <w:name w:val="Comment Text Char"/>
    <w:basedOn w:val="DefaultParagraphFont"/>
    <w:link w:val="CommentText"/>
    <w:uiPriority w:val="99"/>
    <w:semiHidden/>
    <w:rsid w:val="00FF4979"/>
    <w:rPr>
      <w:sz w:val="20"/>
      <w:szCs w:val="20"/>
      <w:lang w:val="en-GB"/>
    </w:rPr>
  </w:style>
  <w:style w:type="paragraph" w:styleId="BalloonText">
    <w:name w:val="Balloon Text"/>
    <w:basedOn w:val="Normal"/>
    <w:link w:val="BalloonTextChar"/>
    <w:uiPriority w:val="99"/>
    <w:semiHidden/>
    <w:unhideWhenUsed/>
    <w:rsid w:val="00FF4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979"/>
    <w:rPr>
      <w:rFonts w:ascii="Lucida Grande" w:hAnsi="Lucida Grande" w:cs="Lucida Grande"/>
      <w:sz w:val="18"/>
      <w:szCs w:val="18"/>
      <w:lang w:val="en-GB"/>
    </w:rPr>
  </w:style>
  <w:style w:type="paragraph" w:styleId="ListParagraph">
    <w:name w:val="List Paragraph"/>
    <w:basedOn w:val="Normal"/>
    <w:uiPriority w:val="34"/>
    <w:qFormat/>
    <w:rsid w:val="0048205F"/>
    <w:pPr>
      <w:spacing w:after="120"/>
      <w:ind w:left="1440" w:hanging="360"/>
      <w:contextualSpacing/>
    </w:pPr>
    <w:rPr>
      <w:rFonts w:ascii="Verdana" w:eastAsia="Times New Roman" w:hAnsi="Verdana" w:cs="Arial"/>
      <w:color w:val="262626"/>
      <w:kern w:val="28"/>
      <w:sz w:val="22"/>
      <w:szCs w:val="22"/>
      <w:lang w:eastAsia="en-GB"/>
    </w:rPr>
  </w:style>
  <w:style w:type="character" w:styleId="Hyperlink">
    <w:name w:val="Hyperlink"/>
    <w:basedOn w:val="DefaultParagraphFont"/>
    <w:uiPriority w:val="99"/>
    <w:unhideWhenUsed/>
    <w:rsid w:val="0012191D"/>
    <w:rPr>
      <w:color w:val="0000FF"/>
      <w:u w:val="single"/>
    </w:rPr>
  </w:style>
  <w:style w:type="character" w:styleId="FollowedHyperlink">
    <w:name w:val="FollowedHyperlink"/>
    <w:basedOn w:val="DefaultParagraphFont"/>
    <w:uiPriority w:val="99"/>
    <w:semiHidden/>
    <w:unhideWhenUsed/>
    <w:rsid w:val="0012191D"/>
    <w:rPr>
      <w:color w:val="800080" w:themeColor="followedHyperlink"/>
      <w:u w:val="single"/>
    </w:rPr>
  </w:style>
  <w:style w:type="table" w:styleId="TableGrid">
    <w:name w:val="Table Grid"/>
    <w:basedOn w:val="TableNormal"/>
    <w:uiPriority w:val="59"/>
    <w:rsid w:val="00AA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rc.ca/sites/default/files/idrcpolicybrieftoolkit.pdf" TargetMode="External"/><Relationship Id="rId12" Type="http://schemas.openxmlformats.org/officeDocument/2006/relationships/hyperlink" Target="https://www.forbes.com/sites/jeffschmitt/2013/07/16/10-keys-to-writing-a-speech/" TargetMode="External"/><Relationship Id="rId13" Type="http://schemas.openxmlformats.org/officeDocument/2006/relationships/hyperlink" Target="https://www.sipri.org/sites/default/files/2018-10/sipripp47_pko_gender_data.pdf" TargetMode="External"/><Relationship Id="rId14" Type="http://schemas.openxmlformats.org/officeDocument/2006/relationships/hyperlink" Target="http://conflictsensitivity.org/other_publication/conflict-analysis-tools/" TargetMode="External"/><Relationship Id="rId15" Type="http://schemas.openxmlformats.org/officeDocument/2006/relationships/hyperlink" Target="https://www.gov.uk/government/publications/the-uk-governments-approach-to-stabilisation-a-guide-for-policy-makers-and-practitioners" TargetMode="External"/><Relationship Id="rId16" Type="http://schemas.openxmlformats.org/officeDocument/2006/relationships/hyperlink" Target="http://www.securitycouncilreport.org/atf/cf/%7B65BFCF9B-6D27-4E9C-8CD3-CF6E4FF96FF9%7D/s_2013_480.pdf" TargetMode="External"/><Relationship Id="rId17" Type="http://schemas.openxmlformats.org/officeDocument/2006/relationships/hyperlink" Target="http://www.peaceau.org/uploads/au-policy-framework-on-security-sector-reform-ae-ssr.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drc.org/topic-guides/safety-security-and-justice/" TargetMode="External"/><Relationship Id="rId6" Type="http://schemas.openxmlformats.org/officeDocument/2006/relationships/hyperlink" Target="https://issat.dcaf.ch/" TargetMode="External"/><Relationship Id="rId7" Type="http://schemas.openxmlformats.org/officeDocument/2006/relationships/hyperlink" Target="https://eeas.eu/headquarters/headquarters-homepage/35509/eu-missions-and-operations" TargetMode="External"/><Relationship Id="rId8" Type="http://schemas.openxmlformats.org/officeDocument/2006/relationships/hyperlink" Target="https://peacekeeping.un.org/en/department-of-peace-operations" TargetMode="External"/><Relationship Id="rId9" Type="http://schemas.openxmlformats.org/officeDocument/2006/relationships/hyperlink" Target="https://fba.se/en/how-we-work/research-policy-analysis-and-development/publications/the-political-advisers-handbook" TargetMode="External"/><Relationship Id="rId10" Type="http://schemas.openxmlformats.org/officeDocument/2006/relationships/hyperlink" Target="https://www.shrm.org/resourcesandtools/tools-and-samples/toolkits/pages/developingandsustaininghigh-performanceworktea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1280</Words>
  <Characters>7302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MB ADVISORY</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Brown</dc:creator>
  <cp:keywords/>
  <dc:description/>
  <cp:lastModifiedBy>Maureen Brown</cp:lastModifiedBy>
  <cp:revision>15</cp:revision>
  <cp:lastPrinted>2018-12-17T10:41:00Z</cp:lastPrinted>
  <dcterms:created xsi:type="dcterms:W3CDTF">2018-12-17T08:10:00Z</dcterms:created>
  <dcterms:modified xsi:type="dcterms:W3CDTF">2019-03-14T16:45:00Z</dcterms:modified>
</cp:coreProperties>
</file>