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67" w:rsidRPr="002E6A67" w:rsidRDefault="002E6A67" w:rsidP="002E6A67">
      <w:pPr>
        <w:spacing w:before="100" w:beforeAutospacing="1" w:after="100" w:afterAutospacing="1"/>
        <w:rPr>
          <w:color w:val="000000" w:themeColor="text1"/>
        </w:rPr>
      </w:pPr>
      <w:r>
        <w:rPr>
          <w:rFonts w:ascii="Cambria" w:hAnsi="Cambria"/>
          <w:b/>
          <w:bCs/>
          <w:color w:val="000000"/>
          <w:sz w:val="28"/>
          <w:szCs w:val="28"/>
        </w:rPr>
        <w:t>Conflict Analysi</w:t>
      </w:r>
      <w:r w:rsidRPr="002E6A67">
        <w:rPr>
          <w:rFonts w:ascii="Cambria" w:hAnsi="Cambria"/>
          <w:b/>
          <w:bCs/>
          <w:color w:val="000000" w:themeColor="text1"/>
          <w:sz w:val="28"/>
          <w:szCs w:val="28"/>
        </w:rPr>
        <w:t>s</w:t>
      </w:r>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Instructor: </w:t>
      </w:r>
    </w:p>
    <w:p w:rsidR="002E6A67" w:rsidRPr="002E6A67" w:rsidRDefault="002E6A67" w:rsidP="002E6A67">
      <w:pPr>
        <w:spacing w:before="100" w:beforeAutospacing="1"/>
        <w:rPr>
          <w:color w:val="000000" w:themeColor="text1"/>
        </w:rPr>
      </w:pPr>
      <w:hyperlink r:id="rId5" w:history="1">
        <w:r w:rsidRPr="002E6A67">
          <w:rPr>
            <w:rStyle w:val="Hyperlink"/>
            <w:rFonts w:ascii="Cambria" w:hAnsi="Cambria"/>
            <w:color w:val="000000" w:themeColor="text1"/>
            <w:sz w:val="28"/>
            <w:szCs w:val="28"/>
          </w:rPr>
          <w:t>Julia Buxton</w:t>
        </w:r>
      </w:hyperlink>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Credits: </w:t>
      </w:r>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2.0</w:t>
      </w:r>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ECTS Credits: </w:t>
      </w:r>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4.0</w:t>
      </w:r>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Term: </w:t>
      </w:r>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Winter</w:t>
      </w:r>
    </w:p>
    <w:p w:rsidR="002E6A67" w:rsidRPr="002E6A67" w:rsidRDefault="002E6A67" w:rsidP="002E6A67">
      <w:pPr>
        <w:spacing w:before="100" w:beforeAutospacing="1"/>
        <w:rPr>
          <w:color w:val="000000" w:themeColor="text1"/>
        </w:rPr>
      </w:pPr>
      <w:r w:rsidRPr="002E6A67">
        <w:rPr>
          <w:rFonts w:ascii="Cambria" w:hAnsi="Cambria"/>
          <w:color w:val="000000" w:themeColor="text1"/>
          <w:sz w:val="28"/>
          <w:szCs w:val="28"/>
        </w:rPr>
        <w:t>Course Description: </w:t>
      </w:r>
    </w:p>
    <w:p w:rsidR="002E6A67" w:rsidRPr="002E6A67" w:rsidRDefault="002E6A67" w:rsidP="002E6A67">
      <w:pPr>
        <w:spacing w:before="100" w:beforeAutospacing="1" w:after="100" w:afterAutospacing="1"/>
        <w:rPr>
          <w:color w:val="000000" w:themeColor="text1"/>
        </w:rPr>
      </w:pPr>
      <w:r w:rsidRPr="002E6A67">
        <w:rPr>
          <w:rFonts w:ascii="Cambria" w:hAnsi="Cambria"/>
          <w:b/>
          <w:bCs/>
          <w:i/>
          <w:iCs/>
          <w:color w:val="000000" w:themeColor="text1"/>
        </w:rPr>
        <w:t>Elective, Security Specialization</w:t>
      </w:r>
      <w:bookmarkStart w:id="0" w:name="_GoBack"/>
      <w:bookmarkEnd w:id="0"/>
    </w:p>
    <w:p w:rsidR="002E6A67" w:rsidRPr="002E6A67" w:rsidRDefault="002E6A67" w:rsidP="002E6A67">
      <w:pPr>
        <w:spacing w:before="100" w:beforeAutospacing="1" w:after="100" w:afterAutospacing="1"/>
        <w:rPr>
          <w:color w:val="000000" w:themeColor="text1"/>
        </w:rPr>
      </w:pPr>
      <w:r w:rsidRPr="002E6A67">
        <w:rPr>
          <w:rFonts w:ascii="Cambria" w:hAnsi="Cambria"/>
          <w:color w:val="000000" w:themeColor="text1"/>
        </w:rPr>
        <w:t>This course introduces conflict analysis tools, theories and frameworks to develop skills of understanding conflict causation, curves and duration that are essential for effective conflict mitigation, management and resolution.  The course examines different explanations for the onset and duration of conflict, it explores conflict actors and introduces principles of conflict sensitivity in policy design and M&amp;E. The emphasis is on violent conflict within and between states and the skills necessary for applied work (ethical, political and personal risk).</w:t>
      </w:r>
    </w:p>
    <w:p w:rsidR="002E6A67" w:rsidRPr="002E6A67" w:rsidRDefault="002E6A67" w:rsidP="002E6A67">
      <w:pPr>
        <w:spacing w:before="100" w:beforeAutospacing="1" w:after="100" w:afterAutospacing="1"/>
        <w:rPr>
          <w:color w:val="000000" w:themeColor="text1"/>
        </w:rPr>
      </w:pPr>
    </w:p>
    <w:p w:rsidR="002E6A67" w:rsidRPr="002E6A67" w:rsidRDefault="002E6A67" w:rsidP="002E6A67">
      <w:pPr>
        <w:spacing w:before="100" w:beforeAutospacing="1"/>
        <w:rPr>
          <w:color w:val="000000" w:themeColor="text1"/>
        </w:rPr>
      </w:pPr>
      <w:r w:rsidRPr="002E6A67">
        <w:rPr>
          <w:rFonts w:ascii="Cambria" w:hAnsi="Cambria"/>
          <w:b/>
          <w:bCs/>
          <w:color w:val="000000" w:themeColor="text1"/>
        </w:rPr>
        <w:t>Learning Outcomes</w:t>
      </w:r>
      <w:r w:rsidRPr="002E6A67">
        <w:rPr>
          <w:rFonts w:ascii="Cambria" w:hAnsi="Cambria"/>
          <w:color w:val="000000" w:themeColor="text1"/>
        </w:rPr>
        <w:t>: </w:t>
      </w:r>
    </w:p>
    <w:p w:rsidR="002E6A67" w:rsidRPr="002E6A67" w:rsidRDefault="002E6A67" w:rsidP="002E6A67">
      <w:pPr>
        <w:spacing w:before="100" w:beforeAutospacing="1" w:after="100" w:afterAutospacing="1"/>
        <w:rPr>
          <w:color w:val="000000" w:themeColor="text1"/>
        </w:rPr>
      </w:pPr>
      <w:r w:rsidRPr="002E6A67">
        <w:rPr>
          <w:rFonts w:ascii="Cambria" w:hAnsi="Cambria"/>
          <w:color w:val="000000" w:themeColor="text1"/>
        </w:rPr>
        <w:t>On successful completion of this course students will have:</w:t>
      </w:r>
    </w:p>
    <w:p w:rsidR="002E6A67" w:rsidRPr="002E6A67" w:rsidRDefault="002E6A67" w:rsidP="002E6A67">
      <w:pPr>
        <w:numPr>
          <w:ilvl w:val="0"/>
          <w:numId w:val="1"/>
        </w:numPr>
        <w:spacing w:before="100" w:beforeAutospacing="1" w:after="100" w:afterAutospacing="1"/>
        <w:rPr>
          <w:rFonts w:ascii="Calibri" w:eastAsia="Times New Roman" w:hAnsi="Calibri"/>
          <w:color w:val="000000" w:themeColor="text1"/>
        </w:rPr>
      </w:pPr>
      <w:r w:rsidRPr="002E6A67">
        <w:rPr>
          <w:rFonts w:ascii="Cambria" w:eastAsia="Times New Roman" w:hAnsi="Cambria"/>
          <w:color w:val="000000" w:themeColor="text1"/>
        </w:rPr>
        <w:t xml:space="preserve">Understanding of concepts, theories and approaches within conflict analysis; </w:t>
      </w:r>
    </w:p>
    <w:p w:rsidR="002E6A67" w:rsidRPr="002E6A67" w:rsidRDefault="002E6A67" w:rsidP="002E6A67">
      <w:pPr>
        <w:numPr>
          <w:ilvl w:val="0"/>
          <w:numId w:val="1"/>
        </w:numPr>
        <w:spacing w:before="100" w:beforeAutospacing="1" w:after="100" w:afterAutospacing="1"/>
        <w:rPr>
          <w:rFonts w:ascii="Calibri" w:eastAsia="Times New Roman" w:hAnsi="Calibri"/>
          <w:color w:val="000000" w:themeColor="text1"/>
        </w:rPr>
      </w:pPr>
      <w:r w:rsidRPr="002E6A67">
        <w:rPr>
          <w:rFonts w:ascii="Cambria" w:eastAsia="Times New Roman" w:hAnsi="Cambria"/>
          <w:color w:val="000000" w:themeColor="text1"/>
        </w:rPr>
        <w:t>Appreciation of the multiple dimensions and causes of conflict;</w:t>
      </w:r>
    </w:p>
    <w:p w:rsidR="002E6A67" w:rsidRPr="002E6A67" w:rsidRDefault="002E6A67" w:rsidP="002E6A67">
      <w:pPr>
        <w:numPr>
          <w:ilvl w:val="0"/>
          <w:numId w:val="1"/>
        </w:numPr>
        <w:spacing w:before="100" w:beforeAutospacing="1" w:after="100" w:afterAutospacing="1"/>
        <w:rPr>
          <w:rFonts w:ascii="Calibri" w:eastAsia="Times New Roman" w:hAnsi="Calibri"/>
          <w:color w:val="000000" w:themeColor="text1"/>
        </w:rPr>
      </w:pPr>
      <w:r w:rsidRPr="002E6A67">
        <w:rPr>
          <w:rFonts w:ascii="Cambria" w:eastAsia="Times New Roman" w:hAnsi="Cambria"/>
          <w:color w:val="000000" w:themeColor="text1"/>
        </w:rPr>
        <w:t>The skills to conduct an objective and insightful analysis of conflict;</w:t>
      </w:r>
    </w:p>
    <w:p w:rsidR="002E6A67" w:rsidRPr="002E6A67" w:rsidRDefault="002E6A67" w:rsidP="002E6A67">
      <w:pPr>
        <w:numPr>
          <w:ilvl w:val="0"/>
          <w:numId w:val="1"/>
        </w:numPr>
        <w:spacing w:before="100" w:beforeAutospacing="1" w:after="100" w:afterAutospacing="1"/>
        <w:rPr>
          <w:rFonts w:ascii="Calibri" w:eastAsia="Times New Roman" w:hAnsi="Calibri"/>
          <w:color w:val="000000" w:themeColor="text1"/>
        </w:rPr>
      </w:pPr>
      <w:r w:rsidRPr="002E6A67">
        <w:rPr>
          <w:rFonts w:ascii="Cambria" w:eastAsia="Times New Roman" w:hAnsi="Cambria"/>
          <w:color w:val="000000" w:themeColor="text1"/>
        </w:rPr>
        <w:t>Familiarity with principles of conflict and gender sensitive policy design and assessment.</w:t>
      </w:r>
    </w:p>
    <w:p w:rsidR="002E6A67" w:rsidRPr="002E6A67" w:rsidRDefault="002E6A67" w:rsidP="002E6A67">
      <w:pPr>
        <w:spacing w:before="100" w:beforeAutospacing="1" w:after="100" w:afterAutospacing="1"/>
        <w:rPr>
          <w:color w:val="000000" w:themeColor="text1"/>
        </w:rPr>
      </w:pPr>
      <w:r w:rsidRPr="002E6A67">
        <w:rPr>
          <w:color w:val="000000" w:themeColor="text1"/>
        </w:rPr>
        <w:t>Assessment: </w:t>
      </w:r>
    </w:p>
    <w:p w:rsidR="002E6A67" w:rsidRPr="002E6A67" w:rsidRDefault="002E6A67" w:rsidP="002E6A67">
      <w:pPr>
        <w:spacing w:before="100" w:beforeAutospacing="1" w:after="100" w:afterAutospacing="1"/>
        <w:rPr>
          <w:color w:val="000000" w:themeColor="text1"/>
        </w:rPr>
      </w:pPr>
      <w:r w:rsidRPr="002E6A67">
        <w:rPr>
          <w:color w:val="000000" w:themeColor="text1"/>
        </w:rPr>
        <w:lastRenderedPageBreak/>
        <w:t xml:space="preserve">A </w:t>
      </w:r>
      <w:proofErr w:type="gramStart"/>
      <w:r w:rsidRPr="002E6A67">
        <w:rPr>
          <w:color w:val="000000" w:themeColor="text1"/>
        </w:rPr>
        <w:t>2,500 word</w:t>
      </w:r>
      <w:proofErr w:type="gramEnd"/>
      <w:r w:rsidRPr="002E6A67">
        <w:rPr>
          <w:color w:val="000000" w:themeColor="text1"/>
        </w:rPr>
        <w:t xml:space="preserve"> conflict analysis (80% of final grade). 20% of the grade will derive from posting and responding to peer group comments on the conflict analysis.</w:t>
      </w:r>
    </w:p>
    <w:p w:rsidR="002E6A67" w:rsidRPr="002E6A67" w:rsidRDefault="002E6A67" w:rsidP="002E6A67">
      <w:pPr>
        <w:spacing w:before="100" w:beforeAutospacing="1" w:after="100" w:afterAutospacing="1"/>
        <w:rPr>
          <w:rFonts w:ascii="Cambria" w:hAnsi="Cambria"/>
          <w:color w:val="000000" w:themeColor="text1"/>
        </w:rPr>
      </w:pPr>
      <w:r w:rsidRPr="002E6A67">
        <w:rPr>
          <w:rFonts w:ascii="Cambria" w:hAnsi="Cambria"/>
          <w:color w:val="000000" w:themeColor="text1"/>
        </w:rPr>
        <w:t>Prerequisites: </w:t>
      </w:r>
    </w:p>
    <w:p w:rsidR="002E6A67" w:rsidRPr="002E6A67" w:rsidRDefault="002E6A67" w:rsidP="002E6A67">
      <w:pPr>
        <w:spacing w:before="100" w:beforeAutospacing="1" w:after="100" w:afterAutospacing="1"/>
        <w:rPr>
          <w:rFonts w:ascii="Cambria" w:hAnsi="Cambria"/>
          <w:color w:val="000000" w:themeColor="text1"/>
        </w:rPr>
      </w:pPr>
      <w:r w:rsidRPr="002E6A67">
        <w:rPr>
          <w:rFonts w:ascii="Cambria" w:hAnsi="Cambria"/>
          <w:color w:val="000000" w:themeColor="text1"/>
        </w:rPr>
        <w:t>There are no prerequisites for this course. This course complements Designing Interventions to Respond to Violence, but both courses are stand-alone offerings, with Designing Interventions focusing on interpersonal and collective violence against groups (</w:t>
      </w:r>
      <w:proofErr w:type="spellStart"/>
      <w:r w:rsidRPr="002E6A67">
        <w:rPr>
          <w:rFonts w:ascii="Cambria" w:hAnsi="Cambria"/>
          <w:color w:val="000000" w:themeColor="text1"/>
        </w:rPr>
        <w:t>Romaphobia</w:t>
      </w:r>
      <w:proofErr w:type="spellEnd"/>
      <w:r w:rsidRPr="002E6A67">
        <w:rPr>
          <w:rFonts w:ascii="Cambria" w:hAnsi="Cambria"/>
          <w:color w:val="000000" w:themeColor="text1"/>
        </w:rPr>
        <w:t xml:space="preserve">, violence against refugees, gender based violence, homophobia, </w:t>
      </w:r>
      <w:proofErr w:type="spellStart"/>
      <w:r w:rsidRPr="002E6A67">
        <w:rPr>
          <w:rFonts w:ascii="Cambria" w:hAnsi="Cambria"/>
          <w:color w:val="000000" w:themeColor="text1"/>
        </w:rPr>
        <w:t>etc</w:t>
      </w:r>
      <w:proofErr w:type="spellEnd"/>
      <w:r w:rsidRPr="002E6A67">
        <w:rPr>
          <w:rFonts w:ascii="Cambria" w:hAnsi="Cambria"/>
          <w:color w:val="000000" w:themeColor="text1"/>
        </w:rPr>
        <w:t xml:space="preserve">) in contrast to the state level focus of this course. </w:t>
      </w:r>
    </w:p>
    <w:p w:rsidR="002E6A67" w:rsidRPr="002E6A67" w:rsidRDefault="002E6A67" w:rsidP="002E6A67">
      <w:pPr>
        <w:spacing w:before="100" w:beforeAutospacing="1" w:after="100" w:afterAutospacing="1"/>
        <w:rPr>
          <w:rFonts w:ascii="Cambria" w:hAnsi="Cambria"/>
          <w:color w:val="000000" w:themeColor="text1"/>
        </w:rPr>
      </w:pPr>
      <w:r w:rsidRPr="002E6A67">
        <w:rPr>
          <w:rFonts w:ascii="Cambria" w:hAnsi="Cambria"/>
          <w:color w:val="000000" w:themeColor="text1"/>
        </w:rPr>
        <w:t>Abbreviated summary of teaching sessions / content:</w:t>
      </w:r>
    </w:p>
    <w:p w:rsidR="002E6A67" w:rsidRPr="002E6A67" w:rsidRDefault="002E6A67" w:rsidP="002E6A67">
      <w:pPr>
        <w:spacing w:before="100" w:beforeAutospacing="1" w:after="100" w:afterAutospacing="1"/>
        <w:rPr>
          <w:rFonts w:ascii="Cambria" w:hAnsi="Cambria"/>
          <w:color w:val="000000" w:themeColor="text1"/>
        </w:rPr>
      </w:pPr>
      <w:r w:rsidRPr="002E6A67">
        <w:rPr>
          <w:rFonts w:ascii="Cambria" w:hAnsi="Cambria"/>
          <w:color w:val="000000" w:themeColor="text1"/>
        </w:rPr>
        <w:t>The course is taught in double sessions alternate weeks to maximize contact time per topic. The emphasis is on applied skills combined with conceptual knowledge. Students will work with case studies;  </w:t>
      </w:r>
    </w:p>
    <w:p w:rsidR="002E6A67" w:rsidRPr="002E6A67" w:rsidRDefault="002E6A67" w:rsidP="002E6A67">
      <w:pPr>
        <w:pStyle w:val="ListParagraph"/>
        <w:numPr>
          <w:ilvl w:val="0"/>
          <w:numId w:val="2"/>
        </w:numPr>
        <w:spacing w:before="100" w:beforeAutospacing="1" w:after="100" w:afterAutospacing="1"/>
        <w:rPr>
          <w:rFonts w:ascii="Cambria" w:hAnsi="Cambria"/>
          <w:color w:val="000000" w:themeColor="text1"/>
        </w:rPr>
      </w:pPr>
      <w:r w:rsidRPr="002E6A67">
        <w:rPr>
          <w:rFonts w:ascii="Cambria" w:hAnsi="Cambria"/>
          <w:color w:val="000000" w:themeColor="text1"/>
        </w:rPr>
        <w:t xml:space="preserve">(Situation profiles) What is conflict and violent conflict, the costs and impacts of violent conflict, the changing nature of violent conflict, conflict phases and duration, frozen conflicts, external interests; gender violence and war; child soldiers; </w:t>
      </w:r>
    </w:p>
    <w:p w:rsidR="002E6A67" w:rsidRPr="002E6A67" w:rsidRDefault="002E6A67" w:rsidP="002E6A67">
      <w:pPr>
        <w:pStyle w:val="ListParagraph"/>
        <w:numPr>
          <w:ilvl w:val="0"/>
          <w:numId w:val="2"/>
        </w:numPr>
        <w:spacing w:before="100" w:beforeAutospacing="1" w:after="100" w:afterAutospacing="1"/>
        <w:rPr>
          <w:rFonts w:ascii="Cambria" w:hAnsi="Cambria"/>
          <w:color w:val="000000" w:themeColor="text1"/>
        </w:rPr>
      </w:pPr>
      <w:r w:rsidRPr="002E6A67">
        <w:rPr>
          <w:rFonts w:ascii="Cambria" w:hAnsi="Cambria"/>
          <w:color w:val="000000" w:themeColor="text1"/>
        </w:rPr>
        <w:t>(Causal analysis) The causes of violent conflict and war (economic dispute and resources – oil, water, drugs); ideology, religion (identity politics); political (party politics, institutional and constitutional causes, elections); triggers</w:t>
      </w:r>
    </w:p>
    <w:p w:rsidR="002E6A67" w:rsidRPr="002E6A67" w:rsidRDefault="002E6A67" w:rsidP="002E6A67">
      <w:pPr>
        <w:pStyle w:val="ListParagraph"/>
        <w:numPr>
          <w:ilvl w:val="0"/>
          <w:numId w:val="2"/>
        </w:numPr>
        <w:spacing w:before="100" w:beforeAutospacing="1" w:after="100" w:afterAutospacing="1"/>
        <w:rPr>
          <w:rFonts w:ascii="Cambria" w:hAnsi="Cambria"/>
          <w:color w:val="000000" w:themeColor="text1"/>
        </w:rPr>
      </w:pPr>
      <w:r w:rsidRPr="002E6A67">
        <w:rPr>
          <w:rFonts w:ascii="Cambria" w:hAnsi="Cambria"/>
          <w:color w:val="000000" w:themeColor="text1"/>
        </w:rPr>
        <w:t>(Stakeholder analysis) Conflict actors and interests; mapping conflict and conflict analysis tools – the conflict wheel, the conflict tree</w:t>
      </w:r>
    </w:p>
    <w:p w:rsidR="002E6A67" w:rsidRPr="002E6A67" w:rsidRDefault="002E6A67" w:rsidP="002E6A67">
      <w:pPr>
        <w:pStyle w:val="ListParagraph"/>
        <w:numPr>
          <w:ilvl w:val="0"/>
          <w:numId w:val="2"/>
        </w:numPr>
        <w:spacing w:before="100" w:beforeAutospacing="1" w:after="100" w:afterAutospacing="1"/>
        <w:rPr>
          <w:rFonts w:ascii="Cambria" w:hAnsi="Cambria"/>
          <w:color w:val="000000" w:themeColor="text1"/>
        </w:rPr>
      </w:pPr>
      <w:r w:rsidRPr="002E6A67">
        <w:rPr>
          <w:rFonts w:ascii="Cambria" w:hAnsi="Cambria"/>
          <w:color w:val="000000" w:themeColor="text1"/>
        </w:rPr>
        <w:t>Conflict sensitive design processes, Do No Harm, the politics of humanitarianism; war economies</w:t>
      </w:r>
    </w:p>
    <w:p w:rsidR="002E6A67" w:rsidRPr="002E6A67" w:rsidRDefault="002E6A67" w:rsidP="002E6A67">
      <w:pPr>
        <w:pStyle w:val="ListParagraph"/>
        <w:numPr>
          <w:ilvl w:val="0"/>
          <w:numId w:val="2"/>
        </w:numPr>
        <w:spacing w:before="100" w:beforeAutospacing="1" w:after="100" w:afterAutospacing="1"/>
        <w:rPr>
          <w:rFonts w:ascii="Cambria" w:hAnsi="Cambria"/>
          <w:color w:val="000000" w:themeColor="text1"/>
        </w:rPr>
      </w:pPr>
      <w:r w:rsidRPr="002E6A67">
        <w:rPr>
          <w:rFonts w:ascii="Cambria" w:hAnsi="Cambria"/>
          <w:color w:val="000000" w:themeColor="text1"/>
        </w:rPr>
        <w:t xml:space="preserve">Conflict Prevention Management and Reduction processes (CPMR), Security Sector Reform Processes (SSR), ‘ownership’ challenges – local / </w:t>
      </w:r>
      <w:proofErr w:type="gramStart"/>
      <w:r w:rsidRPr="002E6A67">
        <w:rPr>
          <w:rFonts w:ascii="Cambria" w:hAnsi="Cambria"/>
          <w:color w:val="000000" w:themeColor="text1"/>
        </w:rPr>
        <w:t>international ;</w:t>
      </w:r>
      <w:proofErr w:type="gramEnd"/>
      <w:r w:rsidRPr="002E6A67">
        <w:rPr>
          <w:rFonts w:ascii="Cambria" w:hAnsi="Cambria"/>
          <w:color w:val="000000" w:themeColor="text1"/>
        </w:rPr>
        <w:t xml:space="preserve"> connectors and dividers</w:t>
      </w:r>
    </w:p>
    <w:p w:rsidR="002E6A67" w:rsidRPr="002E6A67" w:rsidRDefault="002E6A67" w:rsidP="002E6A67">
      <w:pPr>
        <w:pStyle w:val="ListParagraph"/>
        <w:numPr>
          <w:ilvl w:val="0"/>
          <w:numId w:val="2"/>
        </w:numPr>
        <w:spacing w:before="100" w:beforeAutospacing="1" w:after="100" w:afterAutospacing="1"/>
        <w:rPr>
          <w:rFonts w:ascii="Cambria" w:hAnsi="Cambria"/>
          <w:color w:val="000000" w:themeColor="text1"/>
        </w:rPr>
      </w:pPr>
      <w:r w:rsidRPr="002E6A67">
        <w:rPr>
          <w:rFonts w:ascii="Cambria" w:hAnsi="Cambria"/>
          <w:color w:val="000000" w:themeColor="text1"/>
        </w:rPr>
        <w:t xml:space="preserve">Peacebuilding processes, DDR (disarming, demobilizing and reintegrating ex combatants), negative and positive peace, UNSCR </w:t>
      </w:r>
      <w:proofErr w:type="gramStart"/>
      <w:r w:rsidRPr="002E6A67">
        <w:rPr>
          <w:rFonts w:ascii="Cambria" w:hAnsi="Cambria"/>
          <w:color w:val="000000" w:themeColor="text1"/>
        </w:rPr>
        <w:t>1325 ,</w:t>
      </w:r>
      <w:proofErr w:type="gramEnd"/>
      <w:r w:rsidRPr="002E6A67">
        <w:rPr>
          <w:rFonts w:ascii="Cambria" w:hAnsi="Cambria"/>
          <w:color w:val="000000" w:themeColor="text1"/>
        </w:rPr>
        <w:t xml:space="preserve"> post conflict recovery – from stabilization to reconstruction</w:t>
      </w:r>
    </w:p>
    <w:p w:rsidR="002E6A67" w:rsidRPr="002E6A67" w:rsidRDefault="002E6A67" w:rsidP="002E6A67">
      <w:pPr>
        <w:spacing w:before="100" w:beforeAutospacing="1" w:after="100" w:afterAutospacing="1"/>
        <w:rPr>
          <w:rFonts w:ascii="Cambria" w:hAnsi="Cambria"/>
          <w:color w:val="000000" w:themeColor="text1"/>
        </w:rPr>
      </w:pPr>
      <w:r w:rsidRPr="002E6A67">
        <w:rPr>
          <w:rFonts w:ascii="Cambria" w:hAnsi="Cambria"/>
          <w:i/>
          <w:iCs/>
          <w:color w:val="000000" w:themeColor="text1"/>
        </w:rPr>
        <w:t>Abbreviated reading list</w:t>
      </w:r>
      <w:r w:rsidRPr="002E6A67">
        <w:rPr>
          <w:rFonts w:ascii="Cambria" w:hAnsi="Cambria"/>
          <w:color w:val="000000" w:themeColor="text1"/>
        </w:rPr>
        <w:t xml:space="preserve">: </w:t>
      </w:r>
    </w:p>
    <w:p w:rsidR="002E6A67" w:rsidRPr="002E6A67" w:rsidRDefault="002E6A67" w:rsidP="002E6A67">
      <w:pPr>
        <w:spacing w:before="100" w:beforeAutospacing="1" w:after="100" w:afterAutospacing="1"/>
        <w:rPr>
          <w:rFonts w:ascii="Cambria" w:hAnsi="Cambria"/>
          <w:color w:val="000000" w:themeColor="text1"/>
        </w:rPr>
      </w:pPr>
      <w:r w:rsidRPr="002E6A67">
        <w:rPr>
          <w:rFonts w:ascii="Cambria" w:hAnsi="Cambria"/>
          <w:color w:val="000000" w:themeColor="text1"/>
        </w:rPr>
        <w:t xml:space="preserve">The GSDRC Helpdesk: </w:t>
      </w:r>
      <w:hyperlink r:id="rId6" w:history="1">
        <w:r w:rsidRPr="002E6A67">
          <w:rPr>
            <w:rStyle w:val="Hyperlink"/>
            <w:rFonts w:ascii="Cambria" w:hAnsi="Cambria"/>
            <w:color w:val="000000" w:themeColor="text1"/>
          </w:rPr>
          <w:t>http://gsdrc.org/category/conflict/</w:t>
        </w:r>
      </w:hyperlink>
      <w:r w:rsidRPr="002E6A67">
        <w:rPr>
          <w:rFonts w:ascii="Cambria" w:hAnsi="Cambria"/>
          <w:color w:val="000000" w:themeColor="text1"/>
        </w:rPr>
        <w:t xml:space="preserve"> </w:t>
      </w:r>
    </w:p>
    <w:p w:rsidR="002E6A67" w:rsidRPr="002E6A67" w:rsidRDefault="002E6A67" w:rsidP="002E6A67">
      <w:pPr>
        <w:spacing w:after="100" w:afterAutospacing="1"/>
        <w:rPr>
          <w:rFonts w:ascii="Cambria" w:hAnsi="Cambria"/>
          <w:color w:val="000000" w:themeColor="text1"/>
        </w:rPr>
      </w:pPr>
      <w:hyperlink r:id="rId7" w:history="1">
        <w:r w:rsidRPr="002E6A67">
          <w:rPr>
            <w:rStyle w:val="Hyperlink"/>
            <w:rFonts w:ascii="Cambria" w:hAnsi="Cambria"/>
            <w:color w:val="000000" w:themeColor="text1"/>
            <w:lang w:val="en-GB"/>
          </w:rPr>
          <w:t>Video: A Gender Perspective on DDR</w:t>
        </w:r>
      </w:hyperlink>
      <w:r w:rsidRPr="002E6A67">
        <w:rPr>
          <w:rFonts w:ascii="Cambria" w:hAnsi="Cambria"/>
          <w:color w:val="000000" w:themeColor="text1"/>
        </w:rPr>
        <w:t> </w:t>
      </w:r>
    </w:p>
    <w:p w:rsidR="002E6A67" w:rsidRPr="002E6A67" w:rsidRDefault="002E6A67" w:rsidP="002E6A67">
      <w:pPr>
        <w:rPr>
          <w:rFonts w:ascii="Cambria" w:hAnsi="Cambria"/>
          <w:color w:val="000000" w:themeColor="text1"/>
        </w:rPr>
      </w:pPr>
      <w:r w:rsidRPr="002E6A67">
        <w:rPr>
          <w:rFonts w:ascii="Cambria" w:hAnsi="Cambria"/>
          <w:color w:val="000000" w:themeColor="text1"/>
        </w:rPr>
        <w:t xml:space="preserve">Frances </w:t>
      </w:r>
      <w:r w:rsidRPr="002E6A67">
        <w:rPr>
          <w:rFonts w:ascii="Cambria" w:hAnsi="Cambria"/>
          <w:color w:val="000000" w:themeColor="text1"/>
          <w:shd w:val="clear" w:color="auto" w:fill="FFFFFF"/>
        </w:rPr>
        <w:t>Stewart (2000). </w:t>
      </w:r>
      <w:hyperlink r:id="rId8" w:history="1">
        <w:r w:rsidRPr="002E6A67">
          <w:rPr>
            <w:rStyle w:val="Hyperlink"/>
            <w:rFonts w:ascii="Cambria" w:hAnsi="Cambria"/>
            <w:b/>
            <w:bCs/>
            <w:color w:val="000000" w:themeColor="text1"/>
            <w:shd w:val="clear" w:color="auto" w:fill="FFFFFF"/>
          </w:rPr>
          <w:t>Crisis prevention: Tackling horizontal inequalities</w:t>
        </w:r>
      </w:hyperlink>
      <w:r w:rsidRPr="002E6A67">
        <w:rPr>
          <w:rFonts w:ascii="Cambria" w:hAnsi="Cambria"/>
          <w:color w:val="000000" w:themeColor="text1"/>
          <w:shd w:val="clear" w:color="auto" w:fill="FFFFFF"/>
        </w:rPr>
        <w:t>. </w:t>
      </w:r>
      <w:r w:rsidRPr="002E6A67">
        <w:rPr>
          <w:rStyle w:val="Emphasis"/>
          <w:rFonts w:ascii="Cambria" w:hAnsi="Cambria"/>
          <w:color w:val="000000" w:themeColor="text1"/>
          <w:shd w:val="clear" w:color="auto" w:fill="FFFFFF"/>
        </w:rPr>
        <w:t>Oxford Development Studies</w:t>
      </w:r>
      <w:r w:rsidRPr="002E6A67">
        <w:rPr>
          <w:rFonts w:ascii="Cambria" w:hAnsi="Cambria"/>
          <w:color w:val="000000" w:themeColor="text1"/>
          <w:shd w:val="clear" w:color="auto" w:fill="FFFFFF"/>
        </w:rPr>
        <w:t>, </w:t>
      </w:r>
      <w:r w:rsidRPr="002E6A67">
        <w:rPr>
          <w:rStyle w:val="Emphasis"/>
          <w:rFonts w:ascii="Cambria" w:hAnsi="Cambria"/>
          <w:color w:val="000000" w:themeColor="text1"/>
          <w:shd w:val="clear" w:color="auto" w:fill="FFFFFF"/>
        </w:rPr>
        <w:t>28</w:t>
      </w:r>
      <w:r w:rsidRPr="002E6A67">
        <w:rPr>
          <w:rFonts w:ascii="Cambria" w:hAnsi="Cambria"/>
          <w:color w:val="000000" w:themeColor="text1"/>
          <w:shd w:val="clear" w:color="auto" w:fill="FFFFFF"/>
        </w:rPr>
        <w:t>(3), 245-262</w:t>
      </w:r>
    </w:p>
    <w:p w:rsidR="002E6A67" w:rsidRPr="002E6A67" w:rsidRDefault="002E6A67" w:rsidP="002E6A67">
      <w:pPr>
        <w:spacing w:after="100" w:afterAutospacing="1"/>
        <w:rPr>
          <w:rFonts w:ascii="Cambria" w:hAnsi="Cambria"/>
          <w:color w:val="000000" w:themeColor="text1"/>
          <w:lang w:val="en-GB"/>
        </w:rPr>
      </w:pPr>
    </w:p>
    <w:p w:rsidR="002E6A67" w:rsidRPr="002E6A67" w:rsidRDefault="002E6A67" w:rsidP="002E6A67">
      <w:pPr>
        <w:spacing w:after="100" w:afterAutospacing="1"/>
        <w:rPr>
          <w:rFonts w:ascii="Cambria" w:hAnsi="Cambria"/>
          <w:color w:val="000000" w:themeColor="text1"/>
        </w:rPr>
      </w:pPr>
      <w:r w:rsidRPr="002E6A67">
        <w:rPr>
          <w:rFonts w:ascii="Cambria" w:hAnsi="Cambria"/>
          <w:color w:val="000000" w:themeColor="text1"/>
          <w:lang w:val="en-GB"/>
        </w:rPr>
        <w:lastRenderedPageBreak/>
        <w:t xml:space="preserve">Eleanor Gordon (2014) Security Sector Reform, </w:t>
      </w:r>
      <w:proofErr w:type="spellStart"/>
      <w:r w:rsidRPr="002E6A67">
        <w:rPr>
          <w:rFonts w:ascii="Cambria" w:hAnsi="Cambria"/>
          <w:color w:val="000000" w:themeColor="text1"/>
          <w:lang w:val="en-GB"/>
        </w:rPr>
        <w:t>Statebuilding</w:t>
      </w:r>
      <w:proofErr w:type="spellEnd"/>
      <w:r w:rsidRPr="002E6A67">
        <w:rPr>
          <w:rFonts w:ascii="Cambria" w:hAnsi="Cambria"/>
          <w:color w:val="000000" w:themeColor="text1"/>
          <w:lang w:val="en-GB"/>
        </w:rPr>
        <w:t xml:space="preserve"> and Local Ownership: Securing the State or its </w:t>
      </w:r>
      <w:proofErr w:type="gramStart"/>
      <w:r w:rsidRPr="002E6A67">
        <w:rPr>
          <w:rFonts w:ascii="Cambria" w:hAnsi="Cambria"/>
          <w:color w:val="000000" w:themeColor="text1"/>
          <w:lang w:val="en-GB"/>
        </w:rPr>
        <w:t>People?,</w:t>
      </w:r>
      <w:proofErr w:type="gramEnd"/>
      <w:r w:rsidRPr="002E6A67">
        <w:rPr>
          <w:rFonts w:ascii="Cambria" w:hAnsi="Cambria"/>
          <w:color w:val="000000" w:themeColor="text1"/>
          <w:lang w:val="en-GB"/>
        </w:rPr>
        <w:t xml:space="preserve"> Journal of Intervention and </w:t>
      </w:r>
      <w:proofErr w:type="spellStart"/>
      <w:r w:rsidRPr="002E6A67">
        <w:rPr>
          <w:rFonts w:ascii="Cambria" w:hAnsi="Cambria"/>
          <w:color w:val="000000" w:themeColor="text1"/>
          <w:lang w:val="en-GB"/>
        </w:rPr>
        <w:t>Statebuilding</w:t>
      </w:r>
      <w:proofErr w:type="spellEnd"/>
      <w:r w:rsidRPr="002E6A67">
        <w:rPr>
          <w:rFonts w:ascii="Cambria" w:hAnsi="Cambria"/>
          <w:color w:val="000000" w:themeColor="text1"/>
          <w:lang w:val="en-GB"/>
        </w:rPr>
        <w:t>, 8:2-3, 126-148</w:t>
      </w:r>
    </w:p>
    <w:p w:rsidR="002E6A67" w:rsidRPr="002E6A67" w:rsidRDefault="002E6A67" w:rsidP="002E6A67">
      <w:pPr>
        <w:spacing w:after="100" w:afterAutospacing="1"/>
        <w:rPr>
          <w:rFonts w:ascii="Cambria" w:hAnsi="Cambria"/>
          <w:color w:val="000000" w:themeColor="text1"/>
        </w:rPr>
      </w:pPr>
      <w:proofErr w:type="spellStart"/>
      <w:r w:rsidRPr="002E6A67">
        <w:rPr>
          <w:rFonts w:ascii="Cambria" w:hAnsi="Cambria"/>
          <w:color w:val="000000" w:themeColor="text1"/>
          <w:lang w:val="en-GB"/>
        </w:rPr>
        <w:t>Eirin</w:t>
      </w:r>
      <w:proofErr w:type="spellEnd"/>
      <w:r w:rsidRPr="002E6A67">
        <w:rPr>
          <w:rFonts w:ascii="Cambria" w:hAnsi="Cambria"/>
          <w:color w:val="000000" w:themeColor="text1"/>
          <w:lang w:val="en-GB"/>
        </w:rPr>
        <w:t xml:space="preserve"> </w:t>
      </w:r>
      <w:proofErr w:type="spellStart"/>
      <w:r w:rsidRPr="002E6A67">
        <w:rPr>
          <w:rFonts w:ascii="Cambria" w:hAnsi="Cambria"/>
          <w:color w:val="000000" w:themeColor="text1"/>
          <w:lang w:val="en-GB"/>
        </w:rPr>
        <w:t>Mobekk</w:t>
      </w:r>
      <w:proofErr w:type="spellEnd"/>
      <w:r w:rsidRPr="002E6A67">
        <w:rPr>
          <w:rFonts w:ascii="Cambria" w:hAnsi="Cambria"/>
          <w:color w:val="000000" w:themeColor="text1"/>
          <w:lang w:val="en-GB"/>
        </w:rPr>
        <w:t xml:space="preserve"> (2010) Gender, Women and Security Sector Reform, International Peacekeeping, 17:2, 278-291</w:t>
      </w:r>
    </w:p>
    <w:p w:rsidR="002E6A67" w:rsidRPr="002E6A67" w:rsidRDefault="002E6A67" w:rsidP="002E6A67">
      <w:pPr>
        <w:spacing w:before="100" w:beforeAutospacing="1" w:after="100" w:afterAutospacing="1"/>
        <w:rPr>
          <w:rFonts w:ascii="Cambria" w:hAnsi="Cambria"/>
          <w:color w:val="000000" w:themeColor="text1"/>
        </w:rPr>
      </w:pPr>
      <w:r w:rsidRPr="002E6A67">
        <w:rPr>
          <w:rFonts w:ascii="Cambria" w:hAnsi="Cambria"/>
          <w:color w:val="000000" w:themeColor="text1"/>
        </w:rPr>
        <w:t xml:space="preserve">Peter </w:t>
      </w:r>
      <w:proofErr w:type="spellStart"/>
      <w:r w:rsidRPr="002E6A67">
        <w:rPr>
          <w:rFonts w:ascii="Cambria" w:hAnsi="Cambria"/>
          <w:color w:val="000000" w:themeColor="text1"/>
        </w:rPr>
        <w:t>Homel</w:t>
      </w:r>
      <w:proofErr w:type="spellEnd"/>
      <w:r w:rsidRPr="002E6A67">
        <w:rPr>
          <w:rFonts w:ascii="Cambria" w:hAnsi="Cambria"/>
          <w:color w:val="000000" w:themeColor="text1"/>
        </w:rPr>
        <w:t xml:space="preserve"> &amp; Nicolas Masson (2016) Partnerships for human security in fragile contexts: where community safety and security sector reform intersect, Australian Journal of International Affairs, 70:3, 311-327</w:t>
      </w:r>
    </w:p>
    <w:p w:rsidR="002E6A67" w:rsidRPr="002E6A67" w:rsidRDefault="002E6A67" w:rsidP="002E6A67">
      <w:pPr>
        <w:rPr>
          <w:rFonts w:ascii="Cambria" w:hAnsi="Cambria"/>
          <w:color w:val="000000" w:themeColor="text1"/>
        </w:rPr>
      </w:pPr>
      <w:r w:rsidRPr="002E6A67">
        <w:rPr>
          <w:rFonts w:ascii="Cambria" w:hAnsi="Cambria"/>
          <w:color w:val="000000" w:themeColor="text1"/>
        </w:rPr>
        <w:t xml:space="preserve">Mary Anderson (1999) Do No Harm: How aid can support peace – or war, Lynne </w:t>
      </w:r>
      <w:proofErr w:type="spellStart"/>
      <w:r w:rsidRPr="002E6A67">
        <w:rPr>
          <w:rFonts w:ascii="Cambria" w:hAnsi="Cambria"/>
          <w:color w:val="000000" w:themeColor="text1"/>
        </w:rPr>
        <w:t>Rienner</w:t>
      </w:r>
      <w:proofErr w:type="spellEnd"/>
      <w:r w:rsidRPr="002E6A67">
        <w:rPr>
          <w:rFonts w:ascii="Cambria" w:hAnsi="Cambria"/>
          <w:color w:val="000000" w:themeColor="text1"/>
        </w:rPr>
        <w:t xml:space="preserve"> Publishing</w:t>
      </w:r>
    </w:p>
    <w:p w:rsidR="002E6A67" w:rsidRPr="002E6A67" w:rsidRDefault="002E6A67" w:rsidP="002E6A67">
      <w:pPr>
        <w:rPr>
          <w:rFonts w:ascii="Cambria" w:hAnsi="Cambria"/>
          <w:color w:val="000000" w:themeColor="text1"/>
        </w:rPr>
      </w:pPr>
    </w:p>
    <w:p w:rsidR="002E6A67" w:rsidRPr="002E6A67" w:rsidRDefault="002E6A67" w:rsidP="002E6A67">
      <w:pPr>
        <w:rPr>
          <w:rFonts w:ascii="Cambria" w:hAnsi="Cambria"/>
          <w:color w:val="000000" w:themeColor="text1"/>
        </w:rPr>
      </w:pPr>
      <w:r w:rsidRPr="002E6A67">
        <w:rPr>
          <w:rFonts w:ascii="Cambria" w:hAnsi="Cambria"/>
          <w:color w:val="000000" w:themeColor="text1"/>
        </w:rPr>
        <w:t>Sian Herbert (2017) Core Elements of Conflict Analysis, GSDRC   </w:t>
      </w:r>
      <w:hyperlink r:id="rId9" w:history="1">
        <w:r w:rsidRPr="002E6A67">
          <w:rPr>
            <w:rStyle w:val="Hyperlink"/>
            <w:rFonts w:ascii="Cambria" w:hAnsi="Cambria"/>
            <w:color w:val="000000" w:themeColor="text1"/>
          </w:rPr>
          <w:t>http://gsdrc.org/topic-guides/conflict-analysis/core-elements/</w:t>
        </w:r>
      </w:hyperlink>
      <w:r w:rsidRPr="002E6A67">
        <w:rPr>
          <w:rFonts w:ascii="Cambria" w:hAnsi="Cambria"/>
          <w:color w:val="000000" w:themeColor="text1"/>
        </w:rPr>
        <w:t xml:space="preserve"> </w:t>
      </w:r>
    </w:p>
    <w:p w:rsidR="002E6A67" w:rsidRPr="002E6A67" w:rsidRDefault="002E6A67" w:rsidP="002E6A67">
      <w:pPr>
        <w:rPr>
          <w:rFonts w:ascii="Cambria" w:hAnsi="Cambria"/>
          <w:color w:val="000000" w:themeColor="text1"/>
        </w:rPr>
      </w:pPr>
    </w:p>
    <w:p w:rsidR="002E6A67" w:rsidRPr="002E6A67" w:rsidRDefault="002E6A67" w:rsidP="002E6A67">
      <w:pPr>
        <w:pStyle w:val="Heading1"/>
        <w:shd w:val="clear" w:color="auto" w:fill="FFFFFF"/>
        <w:spacing w:before="0" w:beforeAutospacing="0" w:after="0" w:afterAutospacing="0" w:line="360" w:lineRule="atLeast"/>
        <w:rPr>
          <w:rFonts w:ascii="Cambria" w:eastAsia="Times New Roman" w:hAnsi="Cambria"/>
          <w:b w:val="0"/>
          <w:bCs w:val="0"/>
          <w:color w:val="000000" w:themeColor="text1"/>
          <w:sz w:val="24"/>
          <w:szCs w:val="24"/>
        </w:rPr>
      </w:pPr>
      <w:r w:rsidRPr="002E6A67">
        <w:rPr>
          <w:rFonts w:ascii="Cambria" w:eastAsia="Times New Roman" w:hAnsi="Cambria"/>
          <w:b w:val="0"/>
          <w:bCs w:val="0"/>
          <w:color w:val="000000" w:themeColor="text1"/>
          <w:sz w:val="24"/>
          <w:szCs w:val="24"/>
        </w:rPr>
        <w:t xml:space="preserve">Roger </w:t>
      </w:r>
      <w:proofErr w:type="spellStart"/>
      <w:r w:rsidRPr="002E6A67">
        <w:rPr>
          <w:rFonts w:ascii="Cambria" w:eastAsia="Times New Roman" w:hAnsi="Cambria"/>
          <w:b w:val="0"/>
          <w:bCs w:val="0"/>
          <w:color w:val="000000" w:themeColor="text1"/>
          <w:sz w:val="24"/>
          <w:szCs w:val="24"/>
        </w:rPr>
        <w:t>Macginty</w:t>
      </w:r>
      <w:proofErr w:type="spellEnd"/>
      <w:r w:rsidRPr="002E6A67">
        <w:rPr>
          <w:rFonts w:ascii="Cambria" w:eastAsia="Times New Roman" w:hAnsi="Cambria"/>
          <w:b w:val="0"/>
          <w:bCs w:val="0"/>
          <w:color w:val="000000" w:themeColor="text1"/>
          <w:sz w:val="24"/>
          <w:szCs w:val="24"/>
        </w:rPr>
        <w:t xml:space="preserve"> (2010) ‘Hybrid Peace: The Interaction Between Top-Down and Bottom-Up Peace’, Security Dialogue (41) 4 </w:t>
      </w:r>
    </w:p>
    <w:p w:rsidR="005A79D0" w:rsidRDefault="005A79D0"/>
    <w:sectPr w:rsidR="005A7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372"/>
    <w:multiLevelType w:val="multilevel"/>
    <w:tmpl w:val="35D0C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B2F42"/>
    <w:multiLevelType w:val="hybridMultilevel"/>
    <w:tmpl w:val="807C7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67"/>
    <w:rsid w:val="002E6A67"/>
    <w:rsid w:val="005A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91351-52B6-470E-B3C3-437175A6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6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E6A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A67"/>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2E6A67"/>
    <w:rPr>
      <w:color w:val="0000FF"/>
      <w:u w:val="single"/>
    </w:rPr>
  </w:style>
  <w:style w:type="paragraph" w:styleId="ListParagraph">
    <w:name w:val="List Paragraph"/>
    <w:basedOn w:val="Normal"/>
    <w:uiPriority w:val="34"/>
    <w:qFormat/>
    <w:rsid w:val="002E6A67"/>
    <w:pPr>
      <w:ind w:left="720"/>
    </w:pPr>
  </w:style>
  <w:style w:type="character" w:styleId="Emphasis">
    <w:name w:val="Emphasis"/>
    <w:basedOn w:val="DefaultParagraphFont"/>
    <w:uiPriority w:val="20"/>
    <w:qFormat/>
    <w:rsid w:val="002E6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socialpolicy/files/Crisis_Prevention_Tackling_Horizontal_Inequalities.pdf" TargetMode="External"/><Relationship Id="rId3" Type="http://schemas.openxmlformats.org/officeDocument/2006/relationships/settings" Target="settings.xml"/><Relationship Id="rId7" Type="http://schemas.openxmlformats.org/officeDocument/2006/relationships/hyperlink" Target="https://www.youtube.com/watch?v=VHHavw5-_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drc.org/category/conflict/" TargetMode="External"/><Relationship Id="rId11" Type="http://schemas.openxmlformats.org/officeDocument/2006/relationships/theme" Target="theme/theme1.xml"/><Relationship Id="rId5" Type="http://schemas.openxmlformats.org/officeDocument/2006/relationships/hyperlink" Target="http://people.ceu.edu/node/18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sdrc.org/topic-guides/conflict-analysis/core-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Agoston</dc:creator>
  <cp:keywords/>
  <dc:description/>
  <cp:lastModifiedBy>Zsuzsanna Agoston</cp:lastModifiedBy>
  <cp:revision>1</cp:revision>
  <dcterms:created xsi:type="dcterms:W3CDTF">2018-11-29T11:09:00Z</dcterms:created>
  <dcterms:modified xsi:type="dcterms:W3CDTF">2018-11-29T11:11:00Z</dcterms:modified>
</cp:coreProperties>
</file>