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90AD" w14:textId="613A062D" w:rsidR="00735EF8" w:rsidRPr="00F2202E" w:rsidRDefault="00E67636" w:rsidP="00735EF8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870216"/>
          <w:sz w:val="24"/>
          <w:szCs w:val="21"/>
        </w:rPr>
      </w:pPr>
      <w:r>
        <w:rPr>
          <w:rFonts w:ascii="Arial" w:hAnsi="Arial" w:cs="Arial"/>
          <w:b/>
          <w:bCs/>
          <w:color w:val="870216"/>
          <w:sz w:val="24"/>
          <w:szCs w:val="21"/>
        </w:rPr>
        <w:t>Advanced Impact Evaluation</w:t>
      </w:r>
    </w:p>
    <w:p w14:paraId="5E7E0643" w14:textId="71AEAE1D" w:rsidR="007E0F2D" w:rsidRPr="00F2202E" w:rsidRDefault="007E0F2D" w:rsidP="007E0F2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870216"/>
          <w:sz w:val="24"/>
          <w:szCs w:val="21"/>
        </w:rPr>
      </w:pPr>
      <w:r w:rsidRPr="00F2202E">
        <w:rPr>
          <w:rFonts w:ascii="Arial" w:hAnsi="Arial" w:cs="Arial"/>
          <w:b/>
          <w:bCs/>
          <w:color w:val="870216"/>
          <w:sz w:val="24"/>
          <w:szCs w:val="21"/>
        </w:rPr>
        <w:t>Winter</w:t>
      </w:r>
      <w:r w:rsidR="00735EF8" w:rsidRPr="00F2202E">
        <w:rPr>
          <w:rFonts w:ascii="Arial" w:hAnsi="Arial" w:cs="Arial"/>
          <w:b/>
          <w:bCs/>
          <w:color w:val="870216"/>
          <w:sz w:val="24"/>
          <w:szCs w:val="21"/>
        </w:rPr>
        <w:t xml:space="preserve"> 2018</w:t>
      </w:r>
    </w:p>
    <w:p w14:paraId="3C03E0CD" w14:textId="77777777" w:rsidR="00CE1516" w:rsidRPr="00B644E8" w:rsidRDefault="00CE1516" w:rsidP="007E0F2D">
      <w:pPr>
        <w:widowControl w:val="0"/>
        <w:autoSpaceDE w:val="0"/>
        <w:autoSpaceDN w:val="0"/>
        <w:adjustRightInd w:val="0"/>
        <w:spacing w:after="240" w:line="300" w:lineRule="atLeast"/>
        <w:rPr>
          <w:bCs/>
          <w:color w:val="000000"/>
          <w:sz w:val="21"/>
          <w:szCs w:val="21"/>
        </w:rPr>
        <w:sectPr w:rsidR="00CE1516" w:rsidRPr="00B644E8" w:rsidSect="00F45C96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44E5B05" w14:textId="2568AEBA" w:rsidR="00735EF8" w:rsidRPr="00B644E8" w:rsidRDefault="00735EF8" w:rsidP="007E0F2D">
      <w:pPr>
        <w:widowControl w:val="0"/>
        <w:autoSpaceDE w:val="0"/>
        <w:autoSpaceDN w:val="0"/>
        <w:adjustRightInd w:val="0"/>
        <w:spacing w:after="240" w:line="300" w:lineRule="atLeast"/>
        <w:rPr>
          <w:bCs/>
          <w:color w:val="000000"/>
          <w:sz w:val="21"/>
          <w:szCs w:val="21"/>
        </w:rPr>
      </w:pPr>
      <w:r w:rsidRPr="00B644E8">
        <w:rPr>
          <w:bCs/>
          <w:color w:val="000000"/>
          <w:sz w:val="21"/>
          <w:szCs w:val="21"/>
        </w:rPr>
        <w:lastRenderedPageBreak/>
        <w:t>Instructor: Prof. Caitlin Brown</w:t>
      </w:r>
    </w:p>
    <w:p w14:paraId="0D06B446" w14:textId="77777777" w:rsidR="00735EF8" w:rsidRPr="00B644E8" w:rsidRDefault="00735EF8" w:rsidP="00735EF8">
      <w:pPr>
        <w:widowControl w:val="0"/>
        <w:autoSpaceDE w:val="0"/>
        <w:autoSpaceDN w:val="0"/>
        <w:adjustRightInd w:val="0"/>
        <w:spacing w:after="240"/>
        <w:rPr>
          <w:bCs/>
          <w:color w:val="000000"/>
          <w:sz w:val="21"/>
          <w:szCs w:val="21"/>
        </w:rPr>
      </w:pPr>
      <w:r w:rsidRPr="00B644E8">
        <w:rPr>
          <w:bCs/>
          <w:color w:val="000000"/>
          <w:sz w:val="21"/>
          <w:szCs w:val="21"/>
        </w:rPr>
        <w:t>Department: School of Public Policy (SPP)</w:t>
      </w:r>
    </w:p>
    <w:p w14:paraId="597C262F" w14:textId="21FFB536" w:rsidR="007E0F2D" w:rsidRPr="00B644E8" w:rsidRDefault="00735EF8" w:rsidP="00735EF8">
      <w:pPr>
        <w:widowControl w:val="0"/>
        <w:autoSpaceDE w:val="0"/>
        <w:autoSpaceDN w:val="0"/>
        <w:adjustRightInd w:val="0"/>
        <w:spacing w:after="240"/>
        <w:rPr>
          <w:bCs/>
          <w:color w:val="000000"/>
          <w:sz w:val="21"/>
          <w:szCs w:val="21"/>
        </w:rPr>
      </w:pPr>
      <w:r w:rsidRPr="00B644E8">
        <w:rPr>
          <w:bCs/>
          <w:color w:val="000000"/>
          <w:sz w:val="21"/>
          <w:szCs w:val="21"/>
        </w:rPr>
        <w:t xml:space="preserve">Email: </w:t>
      </w:r>
      <w:r w:rsidR="007E0F2D" w:rsidRPr="00B644E8">
        <w:rPr>
          <w:bCs/>
          <w:color w:val="000000"/>
          <w:sz w:val="21"/>
          <w:szCs w:val="21"/>
        </w:rPr>
        <w:t>brownc@spp.ceu.edu</w:t>
      </w:r>
    </w:p>
    <w:p w14:paraId="707BFB08" w14:textId="0AD1C640" w:rsidR="00735EF8" w:rsidRPr="00B644E8" w:rsidRDefault="00735EF8" w:rsidP="00735EF8">
      <w:pPr>
        <w:widowControl w:val="0"/>
        <w:autoSpaceDE w:val="0"/>
        <w:autoSpaceDN w:val="0"/>
        <w:adjustRightInd w:val="0"/>
        <w:spacing w:after="240"/>
        <w:rPr>
          <w:bCs/>
          <w:color w:val="000000"/>
          <w:sz w:val="21"/>
          <w:szCs w:val="21"/>
        </w:rPr>
      </w:pPr>
      <w:r w:rsidRPr="00B644E8">
        <w:rPr>
          <w:bCs/>
          <w:color w:val="000000"/>
          <w:sz w:val="21"/>
          <w:szCs w:val="21"/>
        </w:rPr>
        <w:lastRenderedPageBreak/>
        <w:t>Office: Október 6 ut. 7, Room 203</w:t>
      </w:r>
    </w:p>
    <w:p w14:paraId="5F5A5897" w14:textId="77777777" w:rsidR="00735EF8" w:rsidRPr="00B644E8" w:rsidRDefault="00735EF8" w:rsidP="00735EF8">
      <w:pPr>
        <w:widowControl w:val="0"/>
        <w:autoSpaceDE w:val="0"/>
        <w:autoSpaceDN w:val="0"/>
        <w:adjustRightInd w:val="0"/>
        <w:spacing w:after="240"/>
        <w:rPr>
          <w:bCs/>
          <w:color w:val="000000"/>
          <w:sz w:val="21"/>
          <w:szCs w:val="21"/>
        </w:rPr>
      </w:pPr>
      <w:r w:rsidRPr="00B644E8">
        <w:rPr>
          <w:bCs/>
          <w:color w:val="000000"/>
          <w:sz w:val="21"/>
          <w:szCs w:val="21"/>
        </w:rPr>
        <w:t>Office Hours: Tuesday 3.30-5.30pm</w:t>
      </w:r>
    </w:p>
    <w:p w14:paraId="096062A4" w14:textId="77777777" w:rsidR="00CE1516" w:rsidRPr="00B644E8" w:rsidRDefault="00CE1516" w:rsidP="009B3547">
      <w:pPr>
        <w:rPr>
          <w:sz w:val="21"/>
          <w:szCs w:val="21"/>
        </w:rPr>
        <w:sectPr w:rsidR="00CE1516" w:rsidRPr="00B644E8" w:rsidSect="00CE151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4B5EF85A" w14:textId="77777777" w:rsidR="00A52712" w:rsidRPr="00B644E8" w:rsidRDefault="00A52712" w:rsidP="00A52712">
      <w:pPr>
        <w:rPr>
          <w:sz w:val="21"/>
          <w:szCs w:val="21"/>
        </w:rPr>
      </w:pPr>
    </w:p>
    <w:p w14:paraId="2E6FF755" w14:textId="6A25E0F5" w:rsidR="00A52712" w:rsidRPr="00B644E8" w:rsidRDefault="000E312F" w:rsidP="000E312F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color w:val="000000"/>
          <w:sz w:val="21"/>
          <w:szCs w:val="21"/>
        </w:rPr>
      </w:pPr>
      <w:r w:rsidRPr="00B644E8">
        <w:rPr>
          <w:rFonts w:ascii="Arial" w:hAnsi="Arial" w:cs="Arial"/>
          <w:b/>
          <w:bCs/>
          <w:color w:val="870216"/>
          <w:sz w:val="21"/>
          <w:szCs w:val="21"/>
        </w:rPr>
        <w:t xml:space="preserve">Course Description </w:t>
      </w:r>
    </w:p>
    <w:p w14:paraId="1870401D" w14:textId="27BADD88" w:rsidR="00A52712" w:rsidRPr="002E36DF" w:rsidRDefault="00902F45" w:rsidP="006D03F6">
      <w:pPr>
        <w:spacing w:line="276" w:lineRule="auto"/>
        <w:rPr>
          <w:color w:val="000000" w:themeColor="text1"/>
          <w:sz w:val="21"/>
          <w:szCs w:val="21"/>
        </w:rPr>
      </w:pPr>
      <w:r w:rsidRPr="002E36DF">
        <w:rPr>
          <w:color w:val="000000" w:themeColor="text1"/>
          <w:sz w:val="21"/>
          <w:szCs w:val="21"/>
        </w:rPr>
        <w:t xml:space="preserve">Evaluating the impact of public </w:t>
      </w:r>
      <w:r w:rsidR="00624389" w:rsidRPr="002E36DF">
        <w:rPr>
          <w:color w:val="000000" w:themeColor="text1"/>
          <w:sz w:val="21"/>
          <w:szCs w:val="21"/>
        </w:rPr>
        <w:t xml:space="preserve">policies is key in </w:t>
      </w:r>
      <w:r w:rsidRPr="002E36DF">
        <w:rPr>
          <w:color w:val="000000" w:themeColor="text1"/>
          <w:sz w:val="21"/>
          <w:szCs w:val="21"/>
        </w:rPr>
        <w:t xml:space="preserve">successful policy </w:t>
      </w:r>
      <w:r w:rsidR="00C23DC9" w:rsidRPr="002E36DF">
        <w:rPr>
          <w:color w:val="000000" w:themeColor="text1"/>
          <w:sz w:val="21"/>
          <w:szCs w:val="21"/>
        </w:rPr>
        <w:t>development and implementation</w:t>
      </w:r>
      <w:r w:rsidR="008A4038" w:rsidRPr="002E36DF">
        <w:rPr>
          <w:color w:val="000000" w:themeColor="text1"/>
          <w:sz w:val="21"/>
          <w:szCs w:val="21"/>
        </w:rPr>
        <w:t>; however, correct evaluation of policies is often difficult to achieve</w:t>
      </w:r>
      <w:r w:rsidR="003B4522">
        <w:rPr>
          <w:color w:val="000000" w:themeColor="text1"/>
          <w:sz w:val="21"/>
          <w:szCs w:val="21"/>
        </w:rPr>
        <w:t>, and policy impact</w:t>
      </w:r>
      <w:r w:rsidR="008A4038" w:rsidRPr="002E36DF">
        <w:rPr>
          <w:color w:val="000000" w:themeColor="text1"/>
          <w:sz w:val="21"/>
          <w:szCs w:val="21"/>
        </w:rPr>
        <w:t xml:space="preserve"> can vary depending on the circumstances in which the policy was implemented</w:t>
      </w:r>
      <w:r w:rsidR="00C23DC9" w:rsidRPr="002E36DF">
        <w:rPr>
          <w:color w:val="000000" w:themeColor="text1"/>
          <w:sz w:val="21"/>
          <w:szCs w:val="21"/>
        </w:rPr>
        <w:t>.</w:t>
      </w:r>
      <w:r w:rsidRPr="002E36DF">
        <w:rPr>
          <w:color w:val="000000" w:themeColor="text1"/>
          <w:sz w:val="21"/>
          <w:szCs w:val="21"/>
        </w:rPr>
        <w:t xml:space="preserve"> </w:t>
      </w:r>
      <w:r w:rsidR="00C34300" w:rsidRPr="002E36DF">
        <w:rPr>
          <w:color w:val="000000" w:themeColor="text1"/>
          <w:sz w:val="21"/>
          <w:szCs w:val="21"/>
        </w:rPr>
        <w:t xml:space="preserve">This course will </w:t>
      </w:r>
      <w:r w:rsidR="00110DE6" w:rsidRPr="002E36DF">
        <w:rPr>
          <w:color w:val="000000" w:themeColor="text1"/>
          <w:sz w:val="21"/>
          <w:szCs w:val="21"/>
        </w:rPr>
        <w:t xml:space="preserve">continue from Impact Evaluation: Theory and Application and </w:t>
      </w:r>
      <w:r w:rsidR="00C23DC9" w:rsidRPr="002E36DF">
        <w:rPr>
          <w:color w:val="000000" w:themeColor="text1"/>
          <w:sz w:val="21"/>
          <w:szCs w:val="21"/>
        </w:rPr>
        <w:t>review the primary methods</w:t>
      </w:r>
      <w:r w:rsidR="006D1AE4" w:rsidRPr="002E36DF">
        <w:rPr>
          <w:color w:val="000000" w:themeColor="text1"/>
          <w:sz w:val="21"/>
          <w:szCs w:val="21"/>
        </w:rPr>
        <w:t xml:space="preserve"> used to analyze the impact of </w:t>
      </w:r>
      <w:r w:rsidR="00C249E3" w:rsidRPr="002E36DF">
        <w:rPr>
          <w:color w:val="000000" w:themeColor="text1"/>
          <w:sz w:val="21"/>
          <w:szCs w:val="21"/>
        </w:rPr>
        <w:t>public policy</w:t>
      </w:r>
      <w:r w:rsidR="00800EF8" w:rsidRPr="002E36DF">
        <w:rPr>
          <w:color w:val="000000" w:themeColor="text1"/>
          <w:sz w:val="21"/>
          <w:szCs w:val="21"/>
        </w:rPr>
        <w:t xml:space="preserve"> in an array of settings</w:t>
      </w:r>
      <w:r w:rsidR="00726513" w:rsidRPr="002E36DF">
        <w:rPr>
          <w:color w:val="000000" w:themeColor="text1"/>
          <w:sz w:val="21"/>
          <w:szCs w:val="21"/>
        </w:rPr>
        <w:t>.</w:t>
      </w:r>
      <w:r w:rsidR="008A4038" w:rsidRPr="002E36DF">
        <w:rPr>
          <w:color w:val="000000" w:themeColor="text1"/>
          <w:sz w:val="21"/>
          <w:szCs w:val="21"/>
        </w:rPr>
        <w:t xml:space="preserve"> In this course, students will </w:t>
      </w:r>
      <w:r w:rsidR="00A35905">
        <w:rPr>
          <w:color w:val="000000" w:themeColor="text1"/>
          <w:sz w:val="21"/>
          <w:szCs w:val="21"/>
        </w:rPr>
        <w:t xml:space="preserve">draw from material learned earlier in the semester and </w:t>
      </w:r>
      <w:r w:rsidR="008A4038" w:rsidRPr="002E36DF">
        <w:rPr>
          <w:color w:val="000000" w:themeColor="text1"/>
          <w:sz w:val="21"/>
          <w:szCs w:val="21"/>
        </w:rPr>
        <w:t xml:space="preserve">analyze a policy of their choosing, which will involve selecting the correct method of evaluation and accounting for all possible sources of endogeneity that could </w:t>
      </w:r>
      <w:r w:rsidR="0083413C" w:rsidRPr="002E36DF">
        <w:rPr>
          <w:color w:val="000000" w:themeColor="text1"/>
          <w:sz w:val="21"/>
          <w:szCs w:val="21"/>
        </w:rPr>
        <w:t xml:space="preserve">hinder the estimation of the </w:t>
      </w:r>
      <w:r w:rsidR="003B4522">
        <w:rPr>
          <w:color w:val="000000" w:themeColor="text1"/>
          <w:sz w:val="21"/>
          <w:szCs w:val="21"/>
        </w:rPr>
        <w:t xml:space="preserve">true </w:t>
      </w:r>
      <w:r w:rsidR="0083413C" w:rsidRPr="002E36DF">
        <w:rPr>
          <w:color w:val="000000" w:themeColor="text1"/>
          <w:sz w:val="21"/>
          <w:szCs w:val="21"/>
        </w:rPr>
        <w:t>impact.</w:t>
      </w:r>
      <w:r w:rsidR="00A35905">
        <w:rPr>
          <w:color w:val="000000" w:themeColor="text1"/>
          <w:sz w:val="21"/>
          <w:szCs w:val="21"/>
        </w:rPr>
        <w:t xml:space="preserve"> This project will constitute most of the semester and classes will be driven by students’ interests on specific policies and how they can be evaluated in practice. </w:t>
      </w:r>
    </w:p>
    <w:p w14:paraId="22F374E4" w14:textId="77777777" w:rsidR="008364AE" w:rsidRPr="00B644E8" w:rsidRDefault="008364AE" w:rsidP="006D03F6">
      <w:pPr>
        <w:spacing w:line="276" w:lineRule="auto"/>
        <w:rPr>
          <w:sz w:val="21"/>
          <w:szCs w:val="21"/>
        </w:rPr>
      </w:pPr>
    </w:p>
    <w:p w14:paraId="70D81230" w14:textId="20C8F2F7" w:rsidR="008364AE" w:rsidRPr="00B644E8" w:rsidRDefault="008364AE" w:rsidP="006D03F6">
      <w:pPr>
        <w:spacing w:line="276" w:lineRule="auto"/>
        <w:rPr>
          <w:sz w:val="21"/>
          <w:szCs w:val="21"/>
        </w:rPr>
      </w:pPr>
      <w:r w:rsidRPr="00B644E8">
        <w:rPr>
          <w:sz w:val="21"/>
          <w:szCs w:val="21"/>
        </w:rPr>
        <w:t>This c</w:t>
      </w:r>
      <w:r w:rsidR="0058644D" w:rsidRPr="00B644E8">
        <w:rPr>
          <w:sz w:val="21"/>
          <w:szCs w:val="21"/>
        </w:rPr>
        <w:t>lass is a 6-</w:t>
      </w:r>
      <w:r w:rsidRPr="00B644E8">
        <w:rPr>
          <w:sz w:val="21"/>
          <w:szCs w:val="21"/>
        </w:rPr>
        <w:t xml:space="preserve">week </w:t>
      </w:r>
      <w:r w:rsidR="0058644D" w:rsidRPr="00B644E8">
        <w:rPr>
          <w:sz w:val="21"/>
          <w:szCs w:val="21"/>
        </w:rPr>
        <w:t>intensive course that will be held two times each wee</w:t>
      </w:r>
      <w:r w:rsidR="00A415C9">
        <w:rPr>
          <w:sz w:val="21"/>
          <w:szCs w:val="21"/>
        </w:rPr>
        <w:t>k</w:t>
      </w:r>
      <w:r w:rsidR="00E710FD">
        <w:rPr>
          <w:sz w:val="21"/>
          <w:szCs w:val="21"/>
        </w:rPr>
        <w:t xml:space="preserve"> (Tuesday and Friday mornings) for students who have already taken Impact Evaluation: Theory and Application. </w:t>
      </w:r>
    </w:p>
    <w:p w14:paraId="25584FE9" w14:textId="77777777" w:rsidR="00A52712" w:rsidRPr="00B644E8" w:rsidRDefault="00A52712" w:rsidP="00A52712">
      <w:pPr>
        <w:rPr>
          <w:sz w:val="21"/>
          <w:szCs w:val="21"/>
        </w:rPr>
      </w:pPr>
    </w:p>
    <w:p w14:paraId="26894396" w14:textId="31191BCD" w:rsidR="00C249E3" w:rsidRPr="00B644E8" w:rsidRDefault="000E312F" w:rsidP="000E312F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870216"/>
          <w:sz w:val="21"/>
          <w:szCs w:val="21"/>
        </w:rPr>
      </w:pPr>
      <w:r w:rsidRPr="00B644E8">
        <w:rPr>
          <w:rFonts w:ascii="Arial" w:hAnsi="Arial" w:cs="Arial"/>
          <w:b/>
          <w:bCs/>
          <w:color w:val="870216"/>
          <w:sz w:val="21"/>
          <w:szCs w:val="21"/>
        </w:rPr>
        <w:t xml:space="preserve">Learning Outcomes </w:t>
      </w:r>
    </w:p>
    <w:p w14:paraId="2894F5E5" w14:textId="77777777" w:rsidR="000E312F" w:rsidRPr="00B644E8" w:rsidRDefault="00C249E3" w:rsidP="006D03F6">
      <w:pPr>
        <w:spacing w:line="276" w:lineRule="auto"/>
        <w:rPr>
          <w:sz w:val="21"/>
          <w:szCs w:val="21"/>
        </w:rPr>
      </w:pPr>
      <w:r w:rsidRPr="00B644E8">
        <w:rPr>
          <w:sz w:val="21"/>
          <w:szCs w:val="21"/>
        </w:rPr>
        <w:t>By the end of the co</w:t>
      </w:r>
      <w:r w:rsidR="000E312F" w:rsidRPr="00B644E8">
        <w:rPr>
          <w:sz w:val="21"/>
          <w:szCs w:val="21"/>
        </w:rPr>
        <w:t xml:space="preserve">urse students should be able to: </w:t>
      </w:r>
    </w:p>
    <w:p w14:paraId="43C6C6FE" w14:textId="5E4FAF80" w:rsidR="000E312F" w:rsidRPr="00B644E8" w:rsidRDefault="000E312F" w:rsidP="006D03F6">
      <w:pPr>
        <w:pStyle w:val="ListParagraph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B644E8">
        <w:rPr>
          <w:sz w:val="21"/>
          <w:szCs w:val="21"/>
        </w:rPr>
        <w:t>U</w:t>
      </w:r>
      <w:r w:rsidR="00D14600" w:rsidRPr="00B644E8">
        <w:rPr>
          <w:sz w:val="21"/>
          <w:szCs w:val="21"/>
        </w:rPr>
        <w:t xml:space="preserve">nderstand and implement </w:t>
      </w:r>
      <w:r w:rsidR="0083413C">
        <w:rPr>
          <w:sz w:val="21"/>
          <w:szCs w:val="21"/>
        </w:rPr>
        <w:t>basic and advanced</w:t>
      </w:r>
      <w:r w:rsidR="00D14600" w:rsidRPr="00B644E8">
        <w:rPr>
          <w:sz w:val="21"/>
          <w:szCs w:val="21"/>
        </w:rPr>
        <w:t xml:space="preserve"> methods used in impa</w:t>
      </w:r>
      <w:r w:rsidRPr="00B644E8">
        <w:rPr>
          <w:sz w:val="21"/>
          <w:szCs w:val="21"/>
        </w:rPr>
        <w:t>ct evaluation</w:t>
      </w:r>
    </w:p>
    <w:p w14:paraId="351C4E75" w14:textId="756822F5" w:rsidR="00B54529" w:rsidRPr="00B644E8" w:rsidRDefault="000E312F" w:rsidP="006D03F6">
      <w:pPr>
        <w:pStyle w:val="ListParagraph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B644E8">
        <w:rPr>
          <w:sz w:val="21"/>
          <w:szCs w:val="21"/>
        </w:rPr>
        <w:t>T</w:t>
      </w:r>
      <w:r w:rsidR="00B87B6A" w:rsidRPr="00B644E8">
        <w:rPr>
          <w:sz w:val="21"/>
          <w:szCs w:val="21"/>
        </w:rPr>
        <w:t>hink critically about the issues involved with evaluating public policies</w:t>
      </w:r>
      <w:r w:rsidR="0083413C">
        <w:rPr>
          <w:sz w:val="21"/>
          <w:szCs w:val="21"/>
        </w:rPr>
        <w:t>, including the role of endogeneity.</w:t>
      </w:r>
    </w:p>
    <w:p w14:paraId="4B7538EF" w14:textId="77777777" w:rsidR="00B54529" w:rsidRPr="00B644E8" w:rsidRDefault="001E476A" w:rsidP="006D03F6">
      <w:pPr>
        <w:pStyle w:val="ListParagraph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B644E8">
        <w:rPr>
          <w:sz w:val="21"/>
          <w:szCs w:val="21"/>
        </w:rPr>
        <w:t>Select an appropriate method for evaluating a public policy</w:t>
      </w:r>
      <w:r w:rsidR="00065DED" w:rsidRPr="00B644E8">
        <w:rPr>
          <w:sz w:val="21"/>
          <w:szCs w:val="21"/>
        </w:rPr>
        <w:t>, given the context of the</w:t>
      </w:r>
      <w:r w:rsidR="00B54529" w:rsidRPr="00B644E8">
        <w:rPr>
          <w:sz w:val="21"/>
          <w:szCs w:val="21"/>
        </w:rPr>
        <w:t xml:space="preserve"> policy and the data available</w:t>
      </w:r>
    </w:p>
    <w:p w14:paraId="02425A35" w14:textId="67DE85C3" w:rsidR="00A52712" w:rsidRDefault="00B54529" w:rsidP="00C303D1">
      <w:pPr>
        <w:pStyle w:val="ListParagraph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B644E8">
        <w:rPr>
          <w:sz w:val="21"/>
          <w:szCs w:val="21"/>
        </w:rPr>
        <w:t>E</w:t>
      </w:r>
      <w:r w:rsidR="00495529" w:rsidRPr="00B644E8">
        <w:rPr>
          <w:sz w:val="21"/>
          <w:szCs w:val="21"/>
        </w:rPr>
        <w:t>xecute an analysis of a policy</w:t>
      </w:r>
      <w:r w:rsidR="00C303D1">
        <w:rPr>
          <w:sz w:val="21"/>
          <w:szCs w:val="21"/>
        </w:rPr>
        <w:t xml:space="preserve"> of their choosing, focusing on correct identification of the impact. </w:t>
      </w:r>
    </w:p>
    <w:p w14:paraId="5EBE785C" w14:textId="77777777" w:rsidR="00C303D1" w:rsidRPr="00B644E8" w:rsidRDefault="00C303D1" w:rsidP="002C3AD3">
      <w:pPr>
        <w:pStyle w:val="ListParagraph"/>
        <w:spacing w:line="276" w:lineRule="auto"/>
        <w:rPr>
          <w:sz w:val="21"/>
          <w:szCs w:val="21"/>
        </w:rPr>
      </w:pPr>
    </w:p>
    <w:p w14:paraId="69BC1EEB" w14:textId="1429D8D0" w:rsidR="00A52712" w:rsidRPr="00B644E8" w:rsidRDefault="00286F21" w:rsidP="00954F0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870216"/>
          <w:sz w:val="21"/>
          <w:szCs w:val="21"/>
        </w:rPr>
      </w:pPr>
      <w:r w:rsidRPr="00B644E8">
        <w:rPr>
          <w:rFonts w:ascii="Arial" w:hAnsi="Arial" w:cs="Arial"/>
          <w:b/>
          <w:bCs/>
          <w:color w:val="870216"/>
          <w:sz w:val="21"/>
          <w:szCs w:val="21"/>
        </w:rPr>
        <w:t xml:space="preserve">Assessment </w:t>
      </w:r>
    </w:p>
    <w:p w14:paraId="18267697" w14:textId="77777777" w:rsidR="005069EC" w:rsidRPr="00B644E8" w:rsidRDefault="00604E81" w:rsidP="00954F02">
      <w:pPr>
        <w:spacing w:line="276" w:lineRule="auto"/>
        <w:rPr>
          <w:sz w:val="21"/>
          <w:szCs w:val="21"/>
        </w:rPr>
      </w:pPr>
      <w:r w:rsidRPr="00B644E8">
        <w:rPr>
          <w:sz w:val="21"/>
          <w:szCs w:val="21"/>
        </w:rPr>
        <w:t>Grades will</w:t>
      </w:r>
      <w:r w:rsidR="009364A2" w:rsidRPr="00B644E8">
        <w:rPr>
          <w:sz w:val="21"/>
          <w:szCs w:val="21"/>
        </w:rPr>
        <w:t xml:space="preserve"> </w:t>
      </w:r>
      <w:r w:rsidR="00A52712" w:rsidRPr="00B644E8">
        <w:rPr>
          <w:sz w:val="21"/>
          <w:szCs w:val="21"/>
        </w:rPr>
        <w:t xml:space="preserve">have two </w:t>
      </w:r>
      <w:r w:rsidRPr="00B644E8">
        <w:rPr>
          <w:sz w:val="21"/>
          <w:szCs w:val="21"/>
        </w:rPr>
        <w:t xml:space="preserve">main </w:t>
      </w:r>
      <w:r w:rsidR="005069EC" w:rsidRPr="00B644E8">
        <w:rPr>
          <w:sz w:val="21"/>
          <w:szCs w:val="21"/>
        </w:rPr>
        <w:t>components:</w:t>
      </w:r>
    </w:p>
    <w:p w14:paraId="03C772F7" w14:textId="41E4FF6F" w:rsidR="005069EC" w:rsidRPr="00B644E8" w:rsidRDefault="00587C40" w:rsidP="00954F02">
      <w:pPr>
        <w:pStyle w:val="ListParagraph"/>
        <w:widowControl w:val="0"/>
        <w:numPr>
          <w:ilvl w:val="0"/>
          <w:numId w:val="3"/>
        </w:numPr>
        <w:tabs>
          <w:tab w:val="left" w:pos="1992"/>
        </w:tabs>
        <w:autoSpaceDE w:val="0"/>
        <w:autoSpaceDN w:val="0"/>
        <w:adjustRightInd w:val="0"/>
        <w:spacing w:after="240" w:line="276" w:lineRule="auto"/>
        <w:rPr>
          <w:rFonts w:ascii="Times" w:hAnsi="Times" w:cs="Times"/>
          <w:color w:val="000000"/>
          <w:sz w:val="21"/>
          <w:szCs w:val="21"/>
        </w:rPr>
      </w:pPr>
      <w:r>
        <w:rPr>
          <w:sz w:val="21"/>
          <w:szCs w:val="21"/>
        </w:rPr>
        <w:t>Homework sets (30</w:t>
      </w:r>
      <w:r w:rsidR="005069EC" w:rsidRPr="00B644E8">
        <w:rPr>
          <w:sz w:val="21"/>
          <w:szCs w:val="21"/>
        </w:rPr>
        <w:t>%): Homework will focus on practicing techniques learned in class. There will be 3</w:t>
      </w:r>
      <w:r>
        <w:rPr>
          <w:sz w:val="21"/>
          <w:szCs w:val="21"/>
        </w:rPr>
        <w:t xml:space="preserve"> homework sets each worth 10</w:t>
      </w:r>
      <w:r w:rsidR="005069EC" w:rsidRPr="00B644E8">
        <w:rPr>
          <w:sz w:val="21"/>
          <w:szCs w:val="21"/>
        </w:rPr>
        <w:t xml:space="preserve">%. </w:t>
      </w:r>
    </w:p>
    <w:p w14:paraId="6F3FBD5F" w14:textId="7768EEA1" w:rsidR="007004AF" w:rsidRDefault="00587C40" w:rsidP="000E0645">
      <w:pPr>
        <w:pStyle w:val="ListParagraph"/>
        <w:numPr>
          <w:ilvl w:val="0"/>
          <w:numId w:val="3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Final research paper (70</w:t>
      </w:r>
      <w:r w:rsidR="005069EC" w:rsidRPr="002E36DF">
        <w:rPr>
          <w:sz w:val="21"/>
          <w:szCs w:val="21"/>
        </w:rPr>
        <w:t xml:space="preserve">%): </w:t>
      </w:r>
      <w:r w:rsidR="00BD3EE5" w:rsidRPr="002E36DF">
        <w:rPr>
          <w:sz w:val="21"/>
          <w:szCs w:val="21"/>
        </w:rPr>
        <w:t xml:space="preserve">The </w:t>
      </w:r>
      <w:r w:rsidR="00C303D1" w:rsidRPr="002E36DF">
        <w:rPr>
          <w:sz w:val="21"/>
          <w:szCs w:val="21"/>
        </w:rPr>
        <w:t xml:space="preserve">course will </w:t>
      </w:r>
      <w:r w:rsidR="002E36DF" w:rsidRPr="002E36DF">
        <w:rPr>
          <w:sz w:val="21"/>
          <w:szCs w:val="21"/>
        </w:rPr>
        <w:t>allow students to gradually develop their own analysis of a public policy, culminating in a journal-quality resea</w:t>
      </w:r>
      <w:r w:rsidR="002E36DF">
        <w:rPr>
          <w:sz w:val="21"/>
          <w:szCs w:val="21"/>
        </w:rPr>
        <w:t>r</w:t>
      </w:r>
      <w:r w:rsidR="002E36DF" w:rsidRPr="002E36DF">
        <w:rPr>
          <w:sz w:val="21"/>
          <w:szCs w:val="21"/>
        </w:rPr>
        <w:t xml:space="preserve">ch paper. </w:t>
      </w:r>
    </w:p>
    <w:p w14:paraId="41117B8C" w14:textId="77777777" w:rsidR="002E36DF" w:rsidRPr="002E36DF" w:rsidRDefault="002E36DF" w:rsidP="002C3AD3">
      <w:pPr>
        <w:pStyle w:val="ListParagraph"/>
        <w:spacing w:line="276" w:lineRule="auto"/>
        <w:rPr>
          <w:sz w:val="21"/>
          <w:szCs w:val="21"/>
        </w:rPr>
      </w:pPr>
    </w:p>
    <w:p w14:paraId="2C0C9F2B" w14:textId="57036F10" w:rsidR="00BD3EE5" w:rsidRPr="00B644E8" w:rsidRDefault="007D2E1D" w:rsidP="00954F02">
      <w:pPr>
        <w:spacing w:line="276" w:lineRule="auto"/>
        <w:rPr>
          <w:rFonts w:ascii="Arial" w:hAnsi="Arial" w:cs="Arial"/>
          <w:b/>
          <w:bCs/>
          <w:color w:val="870216"/>
          <w:sz w:val="21"/>
          <w:szCs w:val="21"/>
        </w:rPr>
      </w:pPr>
      <w:r w:rsidRPr="00B644E8">
        <w:rPr>
          <w:rFonts w:ascii="Arial" w:hAnsi="Arial" w:cs="Arial"/>
          <w:b/>
          <w:bCs/>
          <w:color w:val="870216"/>
          <w:sz w:val="21"/>
          <w:szCs w:val="21"/>
        </w:rPr>
        <w:t>Course Readings</w:t>
      </w:r>
    </w:p>
    <w:p w14:paraId="39C8A3BC" w14:textId="77777777" w:rsidR="007D2E1D" w:rsidRPr="00B644E8" w:rsidRDefault="007D2E1D" w:rsidP="00954F02">
      <w:pPr>
        <w:spacing w:line="276" w:lineRule="auto"/>
        <w:rPr>
          <w:sz w:val="21"/>
          <w:szCs w:val="21"/>
        </w:rPr>
      </w:pPr>
    </w:p>
    <w:p w14:paraId="6550349C" w14:textId="45F2EB52" w:rsidR="007D2E1D" w:rsidRPr="00B644E8" w:rsidRDefault="007D2E1D" w:rsidP="00954F02">
      <w:pPr>
        <w:widowControl w:val="0"/>
        <w:autoSpaceDE w:val="0"/>
        <w:autoSpaceDN w:val="0"/>
        <w:adjustRightInd w:val="0"/>
        <w:spacing w:after="240" w:line="276" w:lineRule="auto"/>
        <w:rPr>
          <w:bCs/>
          <w:color w:val="000000" w:themeColor="text1"/>
          <w:sz w:val="21"/>
          <w:szCs w:val="21"/>
        </w:rPr>
      </w:pPr>
      <w:r w:rsidRPr="00B644E8">
        <w:rPr>
          <w:bCs/>
          <w:color w:val="000000" w:themeColor="text1"/>
          <w:sz w:val="21"/>
          <w:szCs w:val="21"/>
        </w:rPr>
        <w:t xml:space="preserve">There are no mandatory texts for this class. Instead, students will be required to complete the readings assigned before each class. For students who would </w:t>
      </w:r>
      <w:r w:rsidR="00CA7FC6" w:rsidRPr="00B644E8">
        <w:rPr>
          <w:bCs/>
          <w:color w:val="000000" w:themeColor="text1"/>
          <w:sz w:val="21"/>
          <w:szCs w:val="21"/>
        </w:rPr>
        <w:t xml:space="preserve">like additional readings, I encourage </w:t>
      </w:r>
      <w:r w:rsidR="00F736E6" w:rsidRPr="00B644E8">
        <w:rPr>
          <w:bCs/>
          <w:color w:val="000000" w:themeColor="text1"/>
          <w:sz w:val="21"/>
          <w:szCs w:val="21"/>
        </w:rPr>
        <w:t xml:space="preserve">you to read the following: </w:t>
      </w:r>
    </w:p>
    <w:p w14:paraId="25E8C8DE" w14:textId="7D1322FE" w:rsidR="00F736E6" w:rsidRPr="00B644E8" w:rsidRDefault="00B22064" w:rsidP="00954F0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bCs/>
          <w:color w:val="000000" w:themeColor="text1"/>
          <w:sz w:val="21"/>
          <w:szCs w:val="21"/>
        </w:rPr>
      </w:pPr>
      <w:r w:rsidRPr="00B644E8">
        <w:rPr>
          <w:bCs/>
          <w:i/>
          <w:color w:val="000000" w:themeColor="text1"/>
          <w:sz w:val="21"/>
          <w:szCs w:val="21"/>
        </w:rPr>
        <w:lastRenderedPageBreak/>
        <w:t>Mostly Harmless Econometrics</w:t>
      </w:r>
      <w:r w:rsidRPr="00B644E8">
        <w:rPr>
          <w:bCs/>
          <w:color w:val="000000" w:themeColor="text1"/>
          <w:sz w:val="21"/>
          <w:szCs w:val="21"/>
        </w:rPr>
        <w:t xml:space="preserve"> (</w:t>
      </w:r>
      <w:r w:rsidR="00EA61A1" w:rsidRPr="00B644E8">
        <w:rPr>
          <w:bCs/>
          <w:color w:val="000000" w:themeColor="text1"/>
          <w:sz w:val="21"/>
          <w:szCs w:val="21"/>
        </w:rPr>
        <w:t>2009) by Joshua Angrist and Jörn-Steffen Pischke.</w:t>
      </w:r>
    </w:p>
    <w:p w14:paraId="336DFB60" w14:textId="2518ED81" w:rsidR="004F1C6E" w:rsidRPr="00B644E8" w:rsidRDefault="00EB3B27" w:rsidP="00954F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rPr>
          <w:bCs/>
          <w:color w:val="000000" w:themeColor="text1"/>
          <w:sz w:val="21"/>
          <w:szCs w:val="21"/>
        </w:rPr>
      </w:pPr>
      <w:r w:rsidRPr="00B644E8">
        <w:rPr>
          <w:bCs/>
          <w:color w:val="000000" w:themeColor="text1"/>
          <w:sz w:val="21"/>
          <w:szCs w:val="21"/>
        </w:rPr>
        <w:t>A more advanced version of Mastering ‘Metrics, aimed at</w:t>
      </w:r>
      <w:r w:rsidR="00123C64" w:rsidRPr="00B644E8">
        <w:rPr>
          <w:bCs/>
          <w:color w:val="000000" w:themeColor="text1"/>
          <w:sz w:val="21"/>
          <w:szCs w:val="21"/>
        </w:rPr>
        <w:t xml:space="preserve"> explaining </w:t>
      </w:r>
      <w:r w:rsidR="004F1C6E" w:rsidRPr="00B644E8">
        <w:rPr>
          <w:bCs/>
          <w:color w:val="000000" w:themeColor="text1"/>
          <w:sz w:val="21"/>
          <w:szCs w:val="21"/>
        </w:rPr>
        <w:t xml:space="preserve">the technical aspects behind </w:t>
      </w:r>
      <w:r w:rsidR="00123C64" w:rsidRPr="00B644E8">
        <w:rPr>
          <w:bCs/>
          <w:color w:val="000000" w:themeColor="text1"/>
          <w:sz w:val="21"/>
          <w:szCs w:val="21"/>
        </w:rPr>
        <w:t xml:space="preserve">causal analysis </w:t>
      </w:r>
    </w:p>
    <w:p w14:paraId="15D0284C" w14:textId="7FF0F511" w:rsidR="00726D1C" w:rsidRPr="00B644E8" w:rsidRDefault="00D646D9" w:rsidP="00954F0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eastAsia="Times New Roman"/>
          <w:sz w:val="21"/>
          <w:szCs w:val="21"/>
        </w:rPr>
      </w:pPr>
      <w:r w:rsidRPr="00B644E8">
        <w:rPr>
          <w:rFonts w:eastAsia="Times New Roman"/>
          <w:i/>
          <w:sz w:val="21"/>
          <w:szCs w:val="21"/>
        </w:rPr>
        <w:t>Impact Evaluation in Practice</w:t>
      </w:r>
      <w:r w:rsidRPr="00B644E8">
        <w:rPr>
          <w:rFonts w:eastAsia="Times New Roman"/>
          <w:sz w:val="21"/>
          <w:szCs w:val="21"/>
        </w:rPr>
        <w:t xml:space="preserve"> by</w:t>
      </w:r>
      <w:r w:rsidR="001145F5" w:rsidRPr="00B644E8">
        <w:rPr>
          <w:rFonts w:eastAsia="Times New Roman"/>
          <w:sz w:val="21"/>
          <w:szCs w:val="21"/>
        </w:rPr>
        <w:t xml:space="preserve"> </w:t>
      </w:r>
      <w:r w:rsidR="00E92015" w:rsidRPr="00B644E8">
        <w:rPr>
          <w:rFonts w:eastAsia="Times New Roman"/>
          <w:sz w:val="21"/>
          <w:szCs w:val="21"/>
        </w:rPr>
        <w:t>Paul Gertler,</w:t>
      </w:r>
      <w:r w:rsidR="0032721C" w:rsidRPr="00B644E8">
        <w:rPr>
          <w:rFonts w:eastAsia="Times New Roman"/>
          <w:sz w:val="21"/>
          <w:szCs w:val="21"/>
        </w:rPr>
        <w:t xml:space="preserve"> Sebastian Martinez, Patrick Premand, Laura B. Rawlings, and Christel M. J. Vermeersch. Washington, D.C.: World Bank Publications. www.worldbank.org/ieinpractice. </w:t>
      </w:r>
    </w:p>
    <w:p w14:paraId="6F7B948A" w14:textId="6022306F" w:rsidR="00726D1C" w:rsidRPr="00B644E8" w:rsidRDefault="00D646D9" w:rsidP="00954F0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eastAsia="Times New Roman"/>
          <w:sz w:val="21"/>
          <w:szCs w:val="21"/>
        </w:rPr>
      </w:pPr>
      <w:r w:rsidRPr="00B644E8">
        <w:rPr>
          <w:rFonts w:eastAsia="Times New Roman"/>
          <w:i/>
          <w:sz w:val="21"/>
          <w:szCs w:val="21"/>
        </w:rPr>
        <w:t>Handbook on Impact Evaluation: Quantitative Methods and Practices</w:t>
      </w:r>
      <w:r w:rsidRPr="00B644E8">
        <w:rPr>
          <w:rFonts w:eastAsia="Times New Roman"/>
          <w:sz w:val="21"/>
          <w:szCs w:val="21"/>
        </w:rPr>
        <w:t xml:space="preserve"> (2010) by </w:t>
      </w:r>
      <w:r w:rsidR="0032721C" w:rsidRPr="00B644E8">
        <w:rPr>
          <w:rFonts w:eastAsia="Times New Roman"/>
          <w:sz w:val="21"/>
          <w:szCs w:val="21"/>
        </w:rPr>
        <w:t>Khander, Shahidur R., Gayatri B. Ko</w:t>
      </w:r>
      <w:r w:rsidRPr="00B644E8">
        <w:rPr>
          <w:rFonts w:eastAsia="Times New Roman"/>
          <w:sz w:val="21"/>
          <w:szCs w:val="21"/>
        </w:rPr>
        <w:t>olwal and Hussain A. Samad</w:t>
      </w:r>
      <w:r w:rsidR="0032721C" w:rsidRPr="00B644E8">
        <w:rPr>
          <w:rFonts w:eastAsia="Times New Roman"/>
          <w:sz w:val="21"/>
          <w:szCs w:val="21"/>
        </w:rPr>
        <w:t xml:space="preserve">. </w:t>
      </w:r>
      <w:r w:rsidRPr="00B644E8">
        <w:rPr>
          <w:rFonts w:eastAsia="Times New Roman"/>
          <w:sz w:val="21"/>
          <w:szCs w:val="21"/>
        </w:rPr>
        <w:t>The World Bank: Washington, D.C</w:t>
      </w:r>
      <w:r w:rsidR="0032721C" w:rsidRPr="00B644E8">
        <w:rPr>
          <w:rFonts w:eastAsia="Times New Roman"/>
          <w:sz w:val="21"/>
          <w:szCs w:val="21"/>
        </w:rPr>
        <w:t xml:space="preserve">. </w:t>
      </w:r>
    </w:p>
    <w:p w14:paraId="60670C80" w14:textId="262FA042" w:rsidR="0032721C" w:rsidRPr="006D03F6" w:rsidRDefault="00D646D9" w:rsidP="00954F0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eastAsia="Times New Roman"/>
          <w:sz w:val="21"/>
          <w:szCs w:val="21"/>
        </w:rPr>
      </w:pPr>
      <w:r w:rsidRPr="00B644E8">
        <w:rPr>
          <w:rFonts w:eastAsia="Times New Roman"/>
          <w:i/>
          <w:sz w:val="21"/>
          <w:szCs w:val="21"/>
        </w:rPr>
        <w:t>Evaluating Anti-Poverty Programs</w:t>
      </w:r>
      <w:r w:rsidRPr="00B644E8">
        <w:rPr>
          <w:rFonts w:eastAsia="Times New Roman"/>
          <w:sz w:val="21"/>
          <w:szCs w:val="21"/>
        </w:rPr>
        <w:t xml:space="preserve"> (2008) by Martin Ravallion. </w:t>
      </w:r>
      <w:r w:rsidR="0032721C" w:rsidRPr="00B644E8">
        <w:rPr>
          <w:rFonts w:eastAsia="Times New Roman"/>
          <w:sz w:val="21"/>
          <w:szCs w:val="21"/>
        </w:rPr>
        <w:t>Chapter 59, in T. Paul Schu</w:t>
      </w:r>
      <w:r w:rsidR="00726D1C" w:rsidRPr="00B644E8">
        <w:rPr>
          <w:rFonts w:eastAsia="Times New Roman"/>
          <w:sz w:val="21"/>
          <w:szCs w:val="21"/>
        </w:rPr>
        <w:t>ltz and John Strauss, ed Handbook of Development Economics, vol.4. Elsevier: Amsterdam, The Netherlands.</w:t>
      </w:r>
    </w:p>
    <w:p w14:paraId="756F207F" w14:textId="77777777" w:rsidR="00A00FCC" w:rsidRPr="00B644E8" w:rsidRDefault="00A00FCC" w:rsidP="00A00FCC">
      <w:pPr>
        <w:rPr>
          <w:rFonts w:ascii="Arial" w:hAnsi="Arial" w:cs="Arial"/>
          <w:b/>
          <w:bCs/>
          <w:color w:val="870216"/>
          <w:sz w:val="21"/>
          <w:szCs w:val="21"/>
        </w:rPr>
      </w:pPr>
      <w:r w:rsidRPr="00B644E8">
        <w:rPr>
          <w:rFonts w:ascii="Arial" w:hAnsi="Arial" w:cs="Arial"/>
          <w:b/>
          <w:bCs/>
          <w:color w:val="870216"/>
          <w:sz w:val="21"/>
          <w:szCs w:val="21"/>
        </w:rPr>
        <w:t>Schedule</w:t>
      </w:r>
    </w:p>
    <w:p w14:paraId="433E94EF" w14:textId="77777777" w:rsidR="00A00FCC" w:rsidRPr="00B644E8" w:rsidRDefault="00A00FCC" w:rsidP="00A00FCC">
      <w:pPr>
        <w:rPr>
          <w:sz w:val="21"/>
          <w:szCs w:val="21"/>
        </w:rPr>
      </w:pPr>
    </w:p>
    <w:p w14:paraId="52E464C6" w14:textId="4E5B7AEC" w:rsidR="00A00FCC" w:rsidRPr="00B644E8" w:rsidRDefault="00A00FCC" w:rsidP="00A00FCC">
      <w:pPr>
        <w:widowControl w:val="0"/>
        <w:tabs>
          <w:tab w:val="left" w:pos="1992"/>
        </w:tabs>
        <w:autoSpaceDE w:val="0"/>
        <w:autoSpaceDN w:val="0"/>
        <w:adjustRightInd w:val="0"/>
        <w:spacing w:after="240" w:line="280" w:lineRule="atLeast"/>
        <w:rPr>
          <w:sz w:val="21"/>
          <w:szCs w:val="21"/>
        </w:rPr>
      </w:pPr>
      <w:r w:rsidRPr="00B644E8">
        <w:rPr>
          <w:sz w:val="21"/>
          <w:szCs w:val="21"/>
        </w:rPr>
        <w:t xml:space="preserve">Please note that this schedule is approximate and is subject to change. </w:t>
      </w:r>
      <w:r w:rsidR="00A968EB" w:rsidRPr="00B644E8">
        <w:rPr>
          <w:sz w:val="21"/>
          <w:szCs w:val="21"/>
        </w:rPr>
        <w:t xml:space="preserve">Each week will constitute </w:t>
      </w:r>
      <w:r w:rsidR="0005269B" w:rsidRPr="00B644E8">
        <w:rPr>
          <w:sz w:val="21"/>
          <w:szCs w:val="21"/>
        </w:rPr>
        <w:t xml:space="preserve">2 classes. </w:t>
      </w:r>
    </w:p>
    <w:p w14:paraId="445D6794" w14:textId="40A0F26B" w:rsidR="0005269B" w:rsidRPr="00B644E8" w:rsidRDefault="0005269B" w:rsidP="006D03F6">
      <w:pPr>
        <w:widowControl w:val="0"/>
        <w:tabs>
          <w:tab w:val="left" w:pos="1992"/>
        </w:tabs>
        <w:autoSpaceDE w:val="0"/>
        <w:autoSpaceDN w:val="0"/>
        <w:adjustRightInd w:val="0"/>
        <w:spacing w:after="120"/>
        <w:ind w:left="720"/>
        <w:rPr>
          <w:sz w:val="21"/>
          <w:szCs w:val="21"/>
        </w:rPr>
      </w:pPr>
      <w:r w:rsidRPr="00B644E8">
        <w:rPr>
          <w:sz w:val="21"/>
          <w:szCs w:val="21"/>
        </w:rPr>
        <w:t xml:space="preserve">Week 1: </w:t>
      </w:r>
      <w:r w:rsidR="00B802C3">
        <w:rPr>
          <w:sz w:val="21"/>
          <w:szCs w:val="21"/>
        </w:rPr>
        <w:t>Review of Experimental vs. Non-Experimental Methods of Evaluation</w:t>
      </w:r>
      <w:r w:rsidRPr="00B644E8">
        <w:rPr>
          <w:sz w:val="21"/>
          <w:szCs w:val="21"/>
        </w:rPr>
        <w:t xml:space="preserve"> </w:t>
      </w:r>
    </w:p>
    <w:p w14:paraId="28874B85" w14:textId="4A5D5601" w:rsidR="0005269B" w:rsidRPr="00B644E8" w:rsidRDefault="0005269B" w:rsidP="006D03F6">
      <w:pPr>
        <w:widowControl w:val="0"/>
        <w:tabs>
          <w:tab w:val="left" w:pos="1992"/>
        </w:tabs>
        <w:autoSpaceDE w:val="0"/>
        <w:autoSpaceDN w:val="0"/>
        <w:adjustRightInd w:val="0"/>
        <w:spacing w:after="120"/>
        <w:ind w:left="720"/>
        <w:rPr>
          <w:sz w:val="21"/>
          <w:szCs w:val="21"/>
        </w:rPr>
      </w:pPr>
      <w:r w:rsidRPr="00B644E8">
        <w:rPr>
          <w:sz w:val="21"/>
          <w:szCs w:val="21"/>
        </w:rPr>
        <w:t xml:space="preserve">Week 2: </w:t>
      </w:r>
      <w:r w:rsidR="00E167BF">
        <w:rPr>
          <w:sz w:val="21"/>
          <w:szCs w:val="21"/>
        </w:rPr>
        <w:t>Propensity-Score Matching</w:t>
      </w:r>
      <w:r w:rsidRPr="00B644E8">
        <w:rPr>
          <w:sz w:val="21"/>
          <w:szCs w:val="21"/>
        </w:rPr>
        <w:t xml:space="preserve"> </w:t>
      </w:r>
    </w:p>
    <w:p w14:paraId="6A68CFEB" w14:textId="0929E0AF" w:rsidR="008C726C" w:rsidRPr="00B644E8" w:rsidRDefault="008C726C" w:rsidP="006D03F6">
      <w:pPr>
        <w:widowControl w:val="0"/>
        <w:tabs>
          <w:tab w:val="left" w:pos="1992"/>
        </w:tabs>
        <w:autoSpaceDE w:val="0"/>
        <w:autoSpaceDN w:val="0"/>
        <w:adjustRightInd w:val="0"/>
        <w:spacing w:after="120"/>
        <w:ind w:left="720"/>
        <w:rPr>
          <w:sz w:val="21"/>
          <w:szCs w:val="21"/>
        </w:rPr>
      </w:pPr>
      <w:r w:rsidRPr="00B644E8">
        <w:rPr>
          <w:sz w:val="21"/>
          <w:szCs w:val="21"/>
        </w:rPr>
        <w:t xml:space="preserve">Week 3: </w:t>
      </w:r>
      <w:r w:rsidR="00AB304B" w:rsidRPr="00B644E8">
        <w:rPr>
          <w:sz w:val="21"/>
          <w:szCs w:val="21"/>
        </w:rPr>
        <w:t>Difference-in-Differences</w:t>
      </w:r>
    </w:p>
    <w:p w14:paraId="51FD4BDA" w14:textId="13632A1F" w:rsidR="008C726C" w:rsidRPr="00B644E8" w:rsidRDefault="008C726C" w:rsidP="006D03F6">
      <w:pPr>
        <w:widowControl w:val="0"/>
        <w:tabs>
          <w:tab w:val="left" w:pos="1992"/>
        </w:tabs>
        <w:autoSpaceDE w:val="0"/>
        <w:autoSpaceDN w:val="0"/>
        <w:adjustRightInd w:val="0"/>
        <w:spacing w:after="120"/>
        <w:ind w:left="720"/>
        <w:rPr>
          <w:sz w:val="21"/>
          <w:szCs w:val="21"/>
        </w:rPr>
      </w:pPr>
      <w:r w:rsidRPr="00B644E8">
        <w:rPr>
          <w:sz w:val="21"/>
          <w:szCs w:val="21"/>
        </w:rPr>
        <w:t>Week 4: Regression Discontinuity Design</w:t>
      </w:r>
    </w:p>
    <w:p w14:paraId="78B58E33" w14:textId="6561C8DF" w:rsidR="008179DE" w:rsidRPr="00B644E8" w:rsidRDefault="008179DE" w:rsidP="00E949D4">
      <w:pPr>
        <w:widowControl w:val="0"/>
        <w:tabs>
          <w:tab w:val="left" w:pos="1992"/>
        </w:tabs>
        <w:autoSpaceDE w:val="0"/>
        <w:autoSpaceDN w:val="0"/>
        <w:adjustRightInd w:val="0"/>
        <w:spacing w:after="120"/>
        <w:ind w:left="720"/>
        <w:rPr>
          <w:sz w:val="21"/>
          <w:szCs w:val="21"/>
        </w:rPr>
      </w:pPr>
      <w:r w:rsidRPr="00B644E8">
        <w:rPr>
          <w:sz w:val="21"/>
          <w:szCs w:val="21"/>
        </w:rPr>
        <w:t xml:space="preserve">Week 5: </w:t>
      </w:r>
      <w:r w:rsidR="00E949D4">
        <w:rPr>
          <w:sz w:val="21"/>
          <w:szCs w:val="21"/>
        </w:rPr>
        <w:t>Mixed Methods of Evaluation</w:t>
      </w:r>
    </w:p>
    <w:p w14:paraId="681D2E4A" w14:textId="60DD5B2D" w:rsidR="008179DE" w:rsidRPr="00B644E8" w:rsidRDefault="008179DE" w:rsidP="008179DE">
      <w:pPr>
        <w:widowControl w:val="0"/>
        <w:tabs>
          <w:tab w:val="left" w:pos="1992"/>
        </w:tabs>
        <w:autoSpaceDE w:val="0"/>
        <w:autoSpaceDN w:val="0"/>
        <w:adjustRightInd w:val="0"/>
        <w:spacing w:after="120"/>
        <w:ind w:left="720"/>
        <w:rPr>
          <w:sz w:val="21"/>
          <w:szCs w:val="21"/>
        </w:rPr>
      </w:pPr>
      <w:r w:rsidRPr="00B644E8">
        <w:rPr>
          <w:sz w:val="21"/>
          <w:szCs w:val="21"/>
        </w:rPr>
        <w:t xml:space="preserve">Week 6: </w:t>
      </w:r>
      <w:r w:rsidR="00E949D4">
        <w:rPr>
          <w:sz w:val="21"/>
          <w:szCs w:val="21"/>
        </w:rPr>
        <w:t>Policy Analysis</w:t>
      </w:r>
      <w:bookmarkStart w:id="0" w:name="_GoBack"/>
      <w:bookmarkEnd w:id="0"/>
    </w:p>
    <w:p w14:paraId="4D46FF18" w14:textId="77777777" w:rsidR="007D2E1D" w:rsidRPr="00B644E8" w:rsidRDefault="007D2E1D">
      <w:pPr>
        <w:rPr>
          <w:sz w:val="21"/>
          <w:szCs w:val="21"/>
        </w:rPr>
      </w:pPr>
    </w:p>
    <w:p w14:paraId="55FEDD01" w14:textId="77777777" w:rsidR="00BD3EE5" w:rsidRPr="00B644E8" w:rsidRDefault="00BD3EE5" w:rsidP="00BD3EE5">
      <w:pPr>
        <w:rPr>
          <w:rFonts w:ascii="Arial" w:hAnsi="Arial" w:cs="Arial"/>
          <w:b/>
          <w:bCs/>
          <w:color w:val="870216"/>
          <w:sz w:val="21"/>
          <w:szCs w:val="21"/>
        </w:rPr>
      </w:pPr>
      <w:r w:rsidRPr="00B644E8">
        <w:rPr>
          <w:rFonts w:ascii="Arial" w:hAnsi="Arial" w:cs="Arial"/>
          <w:b/>
          <w:bCs/>
          <w:color w:val="870216"/>
          <w:sz w:val="21"/>
          <w:szCs w:val="21"/>
        </w:rPr>
        <w:t>Grading</w:t>
      </w:r>
    </w:p>
    <w:p w14:paraId="2D7156FE" w14:textId="77777777" w:rsidR="00BD3EE5" w:rsidRPr="00B644E8" w:rsidRDefault="00BD3EE5" w:rsidP="00BD3EE5">
      <w:pPr>
        <w:rPr>
          <w:sz w:val="21"/>
          <w:szCs w:val="21"/>
        </w:rPr>
      </w:pPr>
    </w:p>
    <w:p w14:paraId="7B430AB6" w14:textId="0C23D1E8" w:rsidR="00BD3EE5" w:rsidRPr="006D03F6" w:rsidRDefault="00BD3EE5" w:rsidP="00954F02">
      <w:pPr>
        <w:pStyle w:val="BodyText"/>
        <w:spacing w:line="276" w:lineRule="auto"/>
        <w:ind w:right="504"/>
        <w:rPr>
          <w:rFonts w:ascii="Times New Roman" w:hAnsi="Times New Roman" w:cs="Times New Roman"/>
          <w:color w:val="231F20"/>
          <w:sz w:val="21"/>
          <w:szCs w:val="21"/>
        </w:rPr>
      </w:pPr>
      <w:r w:rsidRPr="00B644E8">
        <w:rPr>
          <w:rFonts w:ascii="Times New Roman" w:hAnsi="Times New Roman" w:cs="Times New Roman"/>
          <w:color w:val="231F20"/>
          <w:sz w:val="21"/>
          <w:szCs w:val="21"/>
        </w:rPr>
        <w:t>CEU</w:t>
      </w:r>
      <w:r w:rsidRPr="00B644E8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uses</w:t>
      </w:r>
      <w:r w:rsidRPr="00B644E8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B644E8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system</w:t>
      </w:r>
      <w:r w:rsidRPr="00B644E8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of</w:t>
      </w:r>
      <w:r w:rsidRPr="00B644E8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letter</w:t>
      </w:r>
      <w:r w:rsidRPr="00B644E8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grades</w:t>
      </w:r>
      <w:r w:rsidRPr="00B644E8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B644E8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grade</w:t>
      </w:r>
      <w:r w:rsidRPr="00B644E8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points</w:t>
      </w:r>
      <w:r w:rsidRPr="00B644E8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for</w:t>
      </w:r>
      <w:r w:rsidRPr="00B644E8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evaluating</w:t>
      </w:r>
      <w:r w:rsidRPr="00B644E8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student</w:t>
      </w:r>
      <w:r w:rsidRPr="00B644E8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work,</w:t>
      </w:r>
      <w:r w:rsidRPr="00B644E8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 xml:space="preserve">including the thesis (please refer to the grade outline in the </w:t>
      </w:r>
      <w:r w:rsidRPr="00B644E8">
        <w:rPr>
          <w:rFonts w:ascii="Times New Roman" w:hAnsi="Times New Roman" w:cs="Times New Roman"/>
          <w:i/>
          <w:iCs/>
          <w:color w:val="231F20"/>
          <w:sz w:val="21"/>
          <w:szCs w:val="21"/>
        </w:rPr>
        <w:t>CEU Student Records Manual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). Major assignments (i.e. term papers or ﬁnal exams) graded ‘unsatisfactory’ may be retaken once</w:t>
      </w:r>
      <w:r w:rsidRPr="00B644E8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within</w:t>
      </w:r>
      <w:r w:rsidRPr="00B644E8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B644E8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given</w:t>
      </w:r>
      <w:r w:rsidRPr="00B644E8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time</w:t>
      </w:r>
      <w:r w:rsidRPr="00B644E8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frame</w:t>
      </w:r>
      <w:r w:rsidRPr="00B644E8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agreed</w:t>
      </w:r>
      <w:r w:rsidRPr="00B644E8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upon</w:t>
      </w:r>
      <w:r w:rsidRPr="00B644E8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between</w:t>
      </w:r>
      <w:r w:rsidRPr="00B644E8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B644E8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faculty</w:t>
      </w:r>
      <w:r w:rsidRPr="00B644E8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member(s)</w:t>
      </w:r>
      <w:r w:rsidRPr="00B644E8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B644E8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B644E8">
        <w:rPr>
          <w:rFonts w:ascii="Times New Roman" w:hAnsi="Times New Roman" w:cs="Times New Roman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student. Students who fail to submit work, or whose work fails to meet the minimum requirements for the assignment, will receive a grade of ‘F.’ The</w:t>
      </w:r>
      <w:r w:rsidRPr="00B644E8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lowest</w:t>
      </w:r>
      <w:r w:rsidRPr="00B644E8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passing</w:t>
      </w:r>
      <w:r w:rsidRPr="00B644E8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grade</w:t>
      </w:r>
      <w:r w:rsidRPr="00B644E8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is</w:t>
      </w:r>
      <w:r w:rsidRPr="00B644E8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C+.</w:t>
      </w:r>
      <w:r w:rsidRPr="00B644E8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At</w:t>
      </w:r>
      <w:r w:rsidRPr="00B644E8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B644E8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end</w:t>
      </w:r>
      <w:r w:rsidRPr="00B644E8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of</w:t>
      </w:r>
      <w:r w:rsidRPr="00B644E8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each</w:t>
      </w:r>
      <w:r w:rsidRPr="00B644E8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course,</w:t>
      </w:r>
      <w:r w:rsidRPr="00B644E8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course</w:t>
      </w:r>
      <w:r w:rsidRPr="00B644E8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instructors</w:t>
      </w:r>
      <w:r w:rsidRPr="00B644E8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distribute</w:t>
      </w:r>
      <w:r w:rsidRPr="00B644E8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B644E8">
        <w:rPr>
          <w:rFonts w:ascii="Times New Roman" w:hAnsi="Times New Roman" w:cs="Times New Roman"/>
          <w:color w:val="231F20"/>
          <w:sz w:val="21"/>
          <w:szCs w:val="21"/>
        </w:rPr>
        <w:t>a detailed breakdown of the course grade components.</w:t>
      </w:r>
      <w:r w:rsidRPr="00B644E8">
        <w:rPr>
          <w:rFonts w:ascii="Times New Roman" w:hAnsi="Times New Roman" w:cs="Times New Roman"/>
          <w:b/>
          <w:color w:val="231F20"/>
          <w:sz w:val="21"/>
          <w:szCs w:val="21"/>
        </w:rPr>
        <w:t xml:space="preserve"> </w:t>
      </w:r>
    </w:p>
    <w:sectPr w:rsidR="00BD3EE5" w:rsidRPr="006D03F6" w:rsidSect="00CE151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6EFE1" w14:textId="77777777" w:rsidR="009222D5" w:rsidRDefault="009222D5">
      <w:r>
        <w:separator/>
      </w:r>
    </w:p>
  </w:endnote>
  <w:endnote w:type="continuationSeparator" w:id="0">
    <w:p w14:paraId="00D577D3" w14:textId="77777777" w:rsidR="009222D5" w:rsidRDefault="0092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507AD" w14:textId="77777777" w:rsidR="008516AB" w:rsidRDefault="00573A11" w:rsidP="007F4B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47342" w14:textId="77777777" w:rsidR="008516AB" w:rsidRDefault="009222D5" w:rsidP="008516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EF15" w14:textId="77777777" w:rsidR="008516AB" w:rsidRDefault="00573A11" w:rsidP="007F4B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9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10AEE0" w14:textId="77777777" w:rsidR="008516AB" w:rsidRDefault="009222D5" w:rsidP="008516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1973E" w14:textId="77777777" w:rsidR="009222D5" w:rsidRDefault="009222D5">
      <w:r>
        <w:separator/>
      </w:r>
    </w:p>
  </w:footnote>
  <w:footnote w:type="continuationSeparator" w:id="0">
    <w:p w14:paraId="24EC1BFB" w14:textId="77777777" w:rsidR="009222D5" w:rsidRDefault="0092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720F"/>
    <w:multiLevelType w:val="hybridMultilevel"/>
    <w:tmpl w:val="F838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C0331"/>
    <w:multiLevelType w:val="hybridMultilevel"/>
    <w:tmpl w:val="46DCB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04920"/>
    <w:multiLevelType w:val="hybridMultilevel"/>
    <w:tmpl w:val="1674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246D"/>
    <w:multiLevelType w:val="hybridMultilevel"/>
    <w:tmpl w:val="B776D542"/>
    <w:lvl w:ilvl="0" w:tplc="0D0CFB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24846"/>
    <w:multiLevelType w:val="hybridMultilevel"/>
    <w:tmpl w:val="C78E1778"/>
    <w:lvl w:ilvl="0" w:tplc="9FB43F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73000"/>
    <w:multiLevelType w:val="hybridMultilevel"/>
    <w:tmpl w:val="1BA4A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8335A"/>
    <w:multiLevelType w:val="hybridMultilevel"/>
    <w:tmpl w:val="4346506E"/>
    <w:lvl w:ilvl="0" w:tplc="5CEE9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05583"/>
    <w:multiLevelType w:val="hybridMultilevel"/>
    <w:tmpl w:val="1674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861DD"/>
    <w:multiLevelType w:val="hybridMultilevel"/>
    <w:tmpl w:val="A30210AA"/>
    <w:lvl w:ilvl="0" w:tplc="43380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92908"/>
    <w:multiLevelType w:val="hybridMultilevel"/>
    <w:tmpl w:val="94E478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66CB5"/>
    <w:multiLevelType w:val="hybridMultilevel"/>
    <w:tmpl w:val="11540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12"/>
    <w:rsid w:val="00031312"/>
    <w:rsid w:val="00031978"/>
    <w:rsid w:val="0005269B"/>
    <w:rsid w:val="00065DED"/>
    <w:rsid w:val="000D087F"/>
    <w:rsid w:val="000D4B5B"/>
    <w:rsid w:val="000E312F"/>
    <w:rsid w:val="00110DE6"/>
    <w:rsid w:val="00113ABD"/>
    <w:rsid w:val="001145F5"/>
    <w:rsid w:val="00123C64"/>
    <w:rsid w:val="001949C0"/>
    <w:rsid w:val="001E0276"/>
    <w:rsid w:val="001E476A"/>
    <w:rsid w:val="0021698A"/>
    <w:rsid w:val="00264821"/>
    <w:rsid w:val="00286F21"/>
    <w:rsid w:val="002C3AD3"/>
    <w:rsid w:val="002C4648"/>
    <w:rsid w:val="002E36DF"/>
    <w:rsid w:val="0032721C"/>
    <w:rsid w:val="0033344D"/>
    <w:rsid w:val="003877E3"/>
    <w:rsid w:val="003B338F"/>
    <w:rsid w:val="003B4522"/>
    <w:rsid w:val="003B7C53"/>
    <w:rsid w:val="003C67EB"/>
    <w:rsid w:val="003E6342"/>
    <w:rsid w:val="00400E38"/>
    <w:rsid w:val="00443F56"/>
    <w:rsid w:val="00485D73"/>
    <w:rsid w:val="004904CF"/>
    <w:rsid w:val="00495529"/>
    <w:rsid w:val="004C5959"/>
    <w:rsid w:val="004F1C6E"/>
    <w:rsid w:val="005069EC"/>
    <w:rsid w:val="00517549"/>
    <w:rsid w:val="00573A11"/>
    <w:rsid w:val="0058644D"/>
    <w:rsid w:val="00587C40"/>
    <w:rsid w:val="005B34E6"/>
    <w:rsid w:val="00604E81"/>
    <w:rsid w:val="00624389"/>
    <w:rsid w:val="00624530"/>
    <w:rsid w:val="0062491B"/>
    <w:rsid w:val="00642307"/>
    <w:rsid w:val="006C0DC9"/>
    <w:rsid w:val="006D03F6"/>
    <w:rsid w:val="006D1AE4"/>
    <w:rsid w:val="00723A55"/>
    <w:rsid w:val="00726513"/>
    <w:rsid w:val="00726D1C"/>
    <w:rsid w:val="00735EF8"/>
    <w:rsid w:val="00754E33"/>
    <w:rsid w:val="0076292F"/>
    <w:rsid w:val="007713AC"/>
    <w:rsid w:val="007D2E1D"/>
    <w:rsid w:val="007E0F2D"/>
    <w:rsid w:val="00800EF8"/>
    <w:rsid w:val="008179DE"/>
    <w:rsid w:val="0083413C"/>
    <w:rsid w:val="008364AE"/>
    <w:rsid w:val="00852F1A"/>
    <w:rsid w:val="008A4038"/>
    <w:rsid w:val="008C726C"/>
    <w:rsid w:val="00902F45"/>
    <w:rsid w:val="00904C86"/>
    <w:rsid w:val="009222D5"/>
    <w:rsid w:val="009364A2"/>
    <w:rsid w:val="00954F02"/>
    <w:rsid w:val="00986BA2"/>
    <w:rsid w:val="00993E45"/>
    <w:rsid w:val="009B3547"/>
    <w:rsid w:val="009F12B5"/>
    <w:rsid w:val="00A00FCC"/>
    <w:rsid w:val="00A35905"/>
    <w:rsid w:val="00A415C9"/>
    <w:rsid w:val="00A52712"/>
    <w:rsid w:val="00A90D23"/>
    <w:rsid w:val="00A968EB"/>
    <w:rsid w:val="00AA61F2"/>
    <w:rsid w:val="00AB304B"/>
    <w:rsid w:val="00AC244D"/>
    <w:rsid w:val="00B10DA7"/>
    <w:rsid w:val="00B22064"/>
    <w:rsid w:val="00B54529"/>
    <w:rsid w:val="00B644E8"/>
    <w:rsid w:val="00B802C3"/>
    <w:rsid w:val="00B87B6A"/>
    <w:rsid w:val="00BD3EE5"/>
    <w:rsid w:val="00C23DC9"/>
    <w:rsid w:val="00C249E3"/>
    <w:rsid w:val="00C303D1"/>
    <w:rsid w:val="00C34300"/>
    <w:rsid w:val="00C521F3"/>
    <w:rsid w:val="00CA7FC6"/>
    <w:rsid w:val="00CB3A85"/>
    <w:rsid w:val="00CE1516"/>
    <w:rsid w:val="00D14600"/>
    <w:rsid w:val="00D53F5C"/>
    <w:rsid w:val="00D60749"/>
    <w:rsid w:val="00D646D9"/>
    <w:rsid w:val="00DA5EEB"/>
    <w:rsid w:val="00DB5189"/>
    <w:rsid w:val="00DF6A13"/>
    <w:rsid w:val="00E11086"/>
    <w:rsid w:val="00E167BF"/>
    <w:rsid w:val="00E30EB0"/>
    <w:rsid w:val="00E56016"/>
    <w:rsid w:val="00E67636"/>
    <w:rsid w:val="00E710FD"/>
    <w:rsid w:val="00E92015"/>
    <w:rsid w:val="00E949D4"/>
    <w:rsid w:val="00EA61A1"/>
    <w:rsid w:val="00EB3B27"/>
    <w:rsid w:val="00EF07E5"/>
    <w:rsid w:val="00F2202E"/>
    <w:rsid w:val="00F45C96"/>
    <w:rsid w:val="00F52026"/>
    <w:rsid w:val="00F62B03"/>
    <w:rsid w:val="00F736E6"/>
    <w:rsid w:val="00FB5ED8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B3E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712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1312"/>
    <w:pPr>
      <w:outlineLvl w:val="2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F52026"/>
    <w:pPr>
      <w:spacing w:line="360" w:lineRule="auto"/>
      <w:ind w:left="240"/>
    </w:pPr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31312"/>
    <w:rPr>
      <w:b/>
      <w:szCs w:val="24"/>
    </w:rPr>
  </w:style>
  <w:style w:type="paragraph" w:customStyle="1" w:styleId="FigureHeading">
    <w:name w:val="Figure Heading"/>
    <w:basedOn w:val="Normal"/>
    <w:autoRedefine/>
    <w:qFormat/>
    <w:rsid w:val="00031312"/>
    <w:rPr>
      <w:b/>
      <w:szCs w:val="24"/>
    </w:rPr>
  </w:style>
  <w:style w:type="paragraph" w:styleId="Footer">
    <w:name w:val="footer"/>
    <w:basedOn w:val="Normal"/>
    <w:link w:val="FooterChar"/>
    <w:uiPriority w:val="99"/>
    <w:unhideWhenUsed/>
    <w:rsid w:val="00735EF8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5EF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35EF8"/>
  </w:style>
  <w:style w:type="character" w:styleId="Hyperlink">
    <w:name w:val="Hyperlink"/>
    <w:basedOn w:val="DefaultParagraphFont"/>
    <w:uiPriority w:val="99"/>
    <w:unhideWhenUsed/>
    <w:rsid w:val="007E0F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12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D3EE5"/>
    <w:pPr>
      <w:widowControl w:val="0"/>
      <w:autoSpaceDE w:val="0"/>
      <w:autoSpaceDN w:val="0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D3EE5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621</Words>
  <Characters>3541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 Brown</dc:creator>
  <cp:keywords/>
  <dc:description/>
  <cp:lastModifiedBy>Cait Brown</cp:lastModifiedBy>
  <cp:revision>8</cp:revision>
  <dcterms:created xsi:type="dcterms:W3CDTF">2018-11-16T19:42:00Z</dcterms:created>
  <dcterms:modified xsi:type="dcterms:W3CDTF">2018-11-21T20:38:00Z</dcterms:modified>
</cp:coreProperties>
</file>