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D8" w:rsidRPr="00E9790A" w:rsidRDefault="003D7CD8" w:rsidP="00E9790A">
      <w:pPr>
        <w:spacing w:after="0" w:line="280" w:lineRule="atLeast"/>
        <w:jc w:val="both"/>
        <w:rPr>
          <w:rFonts w:ascii="Cambria" w:eastAsia="Times New Roman" w:hAnsi="Cambria" w:cs="Times New Roman"/>
          <w:b/>
          <w:sz w:val="24"/>
          <w:szCs w:val="24"/>
          <w:lang w:val="en-US" w:eastAsia="en-GB"/>
        </w:rPr>
      </w:pPr>
      <w:bookmarkStart w:id="0" w:name="_GoBack"/>
      <w:bookmarkEnd w:id="0"/>
      <w:r w:rsidRPr="003D7CD8">
        <w:rPr>
          <w:rFonts w:ascii="Cambria" w:eastAsia="Times New Roman" w:hAnsi="Cambria" w:cs="Times New Roman"/>
          <w:b/>
          <w:sz w:val="24"/>
          <w:szCs w:val="24"/>
          <w:lang w:val="en-US" w:eastAsia="en-GB"/>
        </w:rPr>
        <w:t>Designing Interventions to Respond to Conflict and Violence</w:t>
      </w:r>
    </w:p>
    <w:p w:rsidR="00740C1E" w:rsidRPr="00E9790A" w:rsidRDefault="00740C1E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740C1E" w:rsidRPr="00E9790A" w:rsidRDefault="00740C1E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Julia Buxton, SPP</w:t>
      </w:r>
    </w:p>
    <w:p w:rsidR="00740C1E" w:rsidRPr="00E9790A" w:rsidRDefault="00740C1E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Elective (Security specialization) </w:t>
      </w:r>
    </w:p>
    <w:p w:rsidR="00740C1E" w:rsidRPr="003D7CD8" w:rsidRDefault="00740C1E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2 credit course, Fall term</w:t>
      </w:r>
    </w:p>
    <w:p w:rsidR="003D7CD8" w:rsidRPr="00E9790A" w:rsidRDefault="003D7CD8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740C1E" w:rsidRPr="00E9790A" w:rsidRDefault="00C80DBC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hAnsi="Cambria"/>
          <w:sz w:val="24"/>
          <w:szCs w:val="24"/>
          <w:lang w:val="en-US"/>
        </w:rPr>
        <w:t>Security</w:t>
      </w:r>
      <w:r w:rsidR="00902D24" w:rsidRPr="00E9790A">
        <w:rPr>
          <w:rFonts w:ascii="Cambria" w:hAnsi="Cambria"/>
          <w:sz w:val="24"/>
          <w:szCs w:val="24"/>
          <w:lang w:val="en-US"/>
        </w:rPr>
        <w:t xml:space="preserve">, human rights and </w:t>
      </w:r>
      <w:r w:rsidR="00740C1E" w:rsidRPr="00E9790A">
        <w:rPr>
          <w:rFonts w:ascii="Cambria" w:hAnsi="Cambria"/>
          <w:sz w:val="24"/>
          <w:szCs w:val="24"/>
          <w:lang w:val="en-US"/>
        </w:rPr>
        <w:t xml:space="preserve">fundamental </w:t>
      </w:r>
      <w:r w:rsidR="00902D24" w:rsidRPr="00E9790A">
        <w:rPr>
          <w:rFonts w:ascii="Cambria" w:hAnsi="Cambria"/>
          <w:sz w:val="24"/>
          <w:szCs w:val="24"/>
          <w:lang w:val="en-US"/>
        </w:rPr>
        <w:t xml:space="preserve">freedoms </w:t>
      </w:r>
      <w:r w:rsidR="00740C1E" w:rsidRPr="00E9790A">
        <w:rPr>
          <w:rFonts w:ascii="Cambria" w:hAnsi="Cambria"/>
          <w:sz w:val="24"/>
          <w:szCs w:val="24"/>
          <w:lang w:val="en-US"/>
        </w:rPr>
        <w:t xml:space="preserve">are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a universal entitlement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. Yet despite a proliferation of UN agendas (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Responsibility to Protec</w:t>
      </w:r>
      <w:r w:rsidR="00B4313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t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,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Human Security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) and supporting 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regional and national level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resolutions, 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conventions, </w:t>
      </w:r>
      <w:r w:rsidR="006F6C4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agencies and laws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, </w:t>
      </w:r>
      <w:r w:rsidR="006F6C4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it is the case that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insecurity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and</w:t>
      </w:r>
      <w:r w:rsidRPr="00E9790A">
        <w:rPr>
          <w:rFonts w:ascii="Cambria" w:hAnsi="Cambria"/>
          <w:sz w:val="24"/>
          <w:szCs w:val="24"/>
          <w:lang w:val="en-US"/>
        </w:rPr>
        <w:t xml:space="preserve"> </w:t>
      </w:r>
      <w:r w:rsidR="00740C1E" w:rsidRPr="00E9790A">
        <w:rPr>
          <w:rFonts w:ascii="Cambria" w:hAnsi="Cambria"/>
          <w:sz w:val="24"/>
          <w:szCs w:val="24"/>
          <w:lang w:val="en-US"/>
        </w:rPr>
        <w:t xml:space="preserve">violence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remain the common experience of communities a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cross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the globe. </w:t>
      </w:r>
      <w:r w:rsidRPr="00E9790A">
        <w:rPr>
          <w:rFonts w:ascii="Cambria" w:hAnsi="Cambria"/>
          <w:sz w:val="24"/>
          <w:szCs w:val="24"/>
        </w:rPr>
        <w:t>According to the UNHCR</w:t>
      </w:r>
      <w:r w:rsidR="00902D24" w:rsidRPr="00E9790A">
        <w:rPr>
          <w:rFonts w:ascii="Cambria" w:hAnsi="Cambria"/>
          <w:sz w:val="24"/>
          <w:szCs w:val="24"/>
        </w:rPr>
        <w:t>,</w:t>
      </w:r>
      <w:r w:rsidRPr="00E9790A">
        <w:rPr>
          <w:rFonts w:ascii="Cambria" w:hAnsi="Cambria"/>
          <w:sz w:val="24"/>
          <w:szCs w:val="24"/>
        </w:rPr>
        <w:t xml:space="preserve"> </w:t>
      </w:r>
      <w:r w:rsidR="00740C1E" w:rsidRPr="00E9790A">
        <w:rPr>
          <w:rFonts w:ascii="Cambria" w:hAnsi="Cambria"/>
          <w:sz w:val="24"/>
          <w:szCs w:val="24"/>
        </w:rPr>
        <w:t>worldwide displacement caused by persecution and war is at an all-time high</w:t>
      </w:r>
      <w:r w:rsidR="00B43134" w:rsidRPr="00E9790A">
        <w:rPr>
          <w:rFonts w:ascii="Cambria" w:hAnsi="Cambria"/>
          <w:sz w:val="24"/>
          <w:szCs w:val="24"/>
        </w:rPr>
        <w:t xml:space="preserve">, </w:t>
      </w:r>
      <w:r w:rsidR="006F6C4D" w:rsidRPr="00E9790A">
        <w:rPr>
          <w:rFonts w:ascii="Cambria" w:hAnsi="Cambria"/>
          <w:sz w:val="24"/>
          <w:szCs w:val="24"/>
        </w:rPr>
        <w:t xml:space="preserve">while at </w:t>
      </w:r>
      <w:r w:rsidR="00740C1E" w:rsidRPr="00E9790A">
        <w:rPr>
          <w:rFonts w:ascii="Cambria" w:hAnsi="Cambria"/>
          <w:sz w:val="24"/>
          <w:szCs w:val="24"/>
        </w:rPr>
        <w:t xml:space="preserve">the local level and despite the promotion of rights-based approaches (RBAs), 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violence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and vulnerability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routinely impact the lives of the poor, men, women, children, racial, indigenous and religious minority groups and the LGBTQI community. </w:t>
      </w:r>
    </w:p>
    <w:p w:rsidR="00740C1E" w:rsidRPr="00E9790A" w:rsidRDefault="00740C1E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3D7CD8" w:rsidRPr="00E9790A" w:rsidRDefault="003D7CD8" w:rsidP="00E9790A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This course introduces students to the </w:t>
      </w:r>
      <w:r w:rsidR="00C80DBC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techniques commonly used by the policy community 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to understand the causes, drivers, dynamics and typologies of conflict and violence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;</w:t>
      </w:r>
      <w:r w:rsidR="00C80DBC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the methods and toolkits used for designing, analyzing and evaluating interventions that aim to prevent, manage and reduce vulnerability to conflict and violence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; and principles of conflict sensitive policy design. 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The course </w:t>
      </w:r>
      <w:r w:rsidR="006F6C4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takes a bottom up approach and 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considers strategies for 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researching, advocating 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and engaging 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with impacted communities 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in order to promote 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ethical and evidence based conflict and violence reduction </w:t>
      </w:r>
      <w:r w:rsid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policy 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initiatives</w:t>
      </w:r>
      <w:r w:rsidR="00740C1E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.     </w:t>
      </w:r>
    </w:p>
    <w:p w:rsidR="00C80DBC" w:rsidRPr="00E9790A" w:rsidRDefault="003D7CD8" w:rsidP="00E9790A">
      <w:pPr>
        <w:spacing w:after="0" w:line="280" w:lineRule="atLeast"/>
        <w:jc w:val="both"/>
        <w:rPr>
          <w:rFonts w:ascii="Cambria" w:eastAsia="Times New Roman" w:hAnsi="Cambria" w:cs="Times New Roman"/>
          <w:color w:val="1F497D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 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  <w:r w:rsidR="00902D24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</w:p>
    <w:p w:rsidR="00902D24" w:rsidRPr="00E9790A" w:rsidRDefault="003D7CD8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u w:val="single"/>
          <w:lang w:val="en-US" w:eastAsia="en-GB"/>
        </w:rPr>
        <w:t>Learning Outcomes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:  On successful completion of this course students will have: </w:t>
      </w:r>
    </w:p>
    <w:p w:rsidR="006F6C4D" w:rsidRPr="00E9790A" w:rsidRDefault="006F6C4D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902D24" w:rsidRPr="00E9790A" w:rsidRDefault="003D7CD8" w:rsidP="00E9790A">
      <w:pPr>
        <w:pStyle w:val="ListParagraph"/>
        <w:numPr>
          <w:ilvl w:val="0"/>
          <w:numId w:val="2"/>
        </w:numPr>
        <w:spacing w:after="0" w:line="280" w:lineRule="atLeast"/>
        <w:ind w:left="284" w:hanging="284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Conceptual and theoretical knowledge of 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the </w:t>
      </w:r>
      <w:r w:rsidR="006F6C4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assumed peace, security and development nexus 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and the mechanisms that are used to promote the 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‘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human security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’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agenda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and rights based approaches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;</w:t>
      </w:r>
    </w:p>
    <w:p w:rsidR="00902D24" w:rsidRPr="00E9790A" w:rsidRDefault="006F6C4D" w:rsidP="00E9790A">
      <w:pPr>
        <w:pStyle w:val="ListParagraph"/>
        <w:numPr>
          <w:ilvl w:val="0"/>
          <w:numId w:val="2"/>
        </w:numPr>
        <w:spacing w:after="0" w:line="280" w:lineRule="atLeast"/>
        <w:ind w:left="284" w:hanging="284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Critical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understanding of the structural and proximate causes of insecurity in a diversity of contexts and for different ‘at risk’ groups; </w:t>
      </w:r>
    </w:p>
    <w:p w:rsidR="003D7CD8" w:rsidRPr="00E9790A" w:rsidRDefault="006F6C4D" w:rsidP="00E9790A">
      <w:pPr>
        <w:pStyle w:val="ListParagraph"/>
        <w:numPr>
          <w:ilvl w:val="0"/>
          <w:numId w:val="2"/>
        </w:numPr>
        <w:spacing w:after="0" w:line="280" w:lineRule="atLeast"/>
        <w:ind w:left="284" w:hanging="284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Knowledge and 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applied 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experience of </w:t>
      </w:r>
      <w:r w:rsidR="003D7CD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the toolkits, methods and best practice approaches utilized to 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understand the dynamics of conflict and violence</w:t>
      </w:r>
      <w:r w:rsidR="009D6A3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,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  <w:r w:rsidR="009D6A3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and to promote conflict sensitive </w:t>
      </w:r>
      <w:r w:rsidR="000D155C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and violence reduction </w:t>
      </w:r>
      <w:r w:rsidR="009D6A3D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interventions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; </w:t>
      </w:r>
    </w:p>
    <w:p w:rsidR="00902D24" w:rsidRPr="00E9790A" w:rsidRDefault="006F6C4D" w:rsidP="00E9790A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The research and analytical skills to write a </w:t>
      </w:r>
      <w:r w:rsidR="009C4AF8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professional level conflict / violence analysis (70% of final grade; max 2,000 words) and a related conflict / violence reduction op-ed or briefing (30% of the final grade; max 700 to 1000 words). </w:t>
      </w:r>
      <w:r w:rsidR="006C1292" w:rsidRPr="00E9790A">
        <w:rPr>
          <w:rFonts w:ascii="Cambria" w:eastAsia="Times New Roman" w:hAnsi="Cambria" w:cs="Times New Roman"/>
          <w:i/>
          <w:sz w:val="24"/>
          <w:szCs w:val="24"/>
          <w:lang w:val="en-US" w:eastAsia="en-GB"/>
        </w:rPr>
        <w:t xml:space="preserve">SPP students that have completed either or both of the SFI courses on documentary film making / media advocacy can submit a video based assessment instead of the written analysis subject to discussion and approval from the course teacher.  </w:t>
      </w:r>
      <w:r w:rsidR="009C4AF8" w:rsidRPr="00E9790A">
        <w:rPr>
          <w:rFonts w:ascii="Cambria" w:eastAsia="Times New Roman" w:hAnsi="Cambria" w:cs="Times New Roman"/>
          <w:i/>
          <w:sz w:val="24"/>
          <w:szCs w:val="24"/>
          <w:lang w:val="en-US" w:eastAsia="en-GB"/>
        </w:rPr>
        <w:t xml:space="preserve"> </w:t>
      </w:r>
      <w:r w:rsidRPr="00E9790A">
        <w:rPr>
          <w:rFonts w:ascii="Cambria" w:eastAsia="Times New Roman" w:hAnsi="Cambria" w:cs="Times New Roman"/>
          <w:i/>
          <w:sz w:val="24"/>
          <w:szCs w:val="24"/>
          <w:lang w:val="en-US" w:eastAsia="en-GB"/>
        </w:rPr>
        <w:t xml:space="preserve"> </w:t>
      </w:r>
    </w:p>
    <w:p w:rsidR="003D7CD8" w:rsidRPr="00E9790A" w:rsidRDefault="003D7CD8" w:rsidP="00E9790A">
      <w:pPr>
        <w:spacing w:after="0" w:line="280" w:lineRule="atLeast"/>
        <w:rPr>
          <w:rFonts w:ascii="Cambria" w:eastAsia="Times New Roman" w:hAnsi="Cambria" w:cs="Times New Roman"/>
          <w:color w:val="1F497D"/>
          <w:sz w:val="24"/>
          <w:szCs w:val="24"/>
          <w:lang w:val="en-US" w:eastAsia="en-GB"/>
        </w:rPr>
      </w:pPr>
    </w:p>
    <w:p w:rsidR="000D155C" w:rsidRDefault="000D155C" w:rsidP="000D155C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 xml:space="preserve">Before we start: </w:t>
      </w:r>
      <w:r w:rsidRPr="000D155C">
        <w:rPr>
          <w:rFonts w:ascii="Cambria" w:hAnsi="Cambria" w:cs="Arial"/>
          <w:i/>
          <w:sz w:val="24"/>
          <w:szCs w:val="24"/>
        </w:rPr>
        <w:t>Considerations around research and report writing</w:t>
      </w:r>
      <w:r>
        <w:rPr>
          <w:rFonts w:ascii="Cambria" w:hAnsi="Cambria" w:cs="Arial"/>
          <w:i/>
          <w:sz w:val="24"/>
          <w:szCs w:val="24"/>
        </w:rPr>
        <w:t xml:space="preserve"> for all students taking this course: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0D155C" w:rsidRDefault="000D155C" w:rsidP="000D155C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Interpreting numbers and data; validating the evidence base</w:t>
      </w:r>
    </w:p>
    <w:p w:rsidR="000D155C" w:rsidRDefault="000D155C" w:rsidP="000D155C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Gender and conflict sensitivity </w:t>
      </w:r>
    </w:p>
    <w:p w:rsidR="000D155C" w:rsidRDefault="000D155C" w:rsidP="000D155C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Ethical issues in conflict and violence research</w:t>
      </w:r>
    </w:p>
    <w:p w:rsidR="000D155C" w:rsidRDefault="000D155C" w:rsidP="000D155C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Keeping contacts safe</w:t>
      </w:r>
    </w:p>
    <w:p w:rsidR="000D155C" w:rsidRPr="00E9790A" w:rsidRDefault="000D155C" w:rsidP="000D155C">
      <w:pPr>
        <w:spacing w:after="0" w:line="280" w:lineRule="atLeast"/>
        <w:ind w:left="720"/>
        <w:jc w:val="both"/>
        <w:rPr>
          <w:rFonts w:ascii="Cambria" w:hAnsi="Cambria" w:cs="Arial"/>
          <w:sz w:val="24"/>
          <w:szCs w:val="24"/>
        </w:rPr>
      </w:pPr>
    </w:p>
    <w:p w:rsidR="000D155C" w:rsidRPr="000D155C" w:rsidRDefault="000D155C" w:rsidP="000D15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</w:rPr>
      </w:pPr>
      <w:r w:rsidRPr="000D155C">
        <w:rPr>
          <w:rFonts w:ascii="Cambria" w:hAnsi="Cambria"/>
        </w:rPr>
        <w:lastRenderedPageBreak/>
        <w:t>Technical Working Group on Data Collection on Violence against Children, 2012, ‘Ethical Principles, Dilemmas and Risks in Collecting Data on Violence against Children’, Chapter 5, p.49-60 https://data.unicef.org/wpcontent/uploads/2015/12/EPDRCLitReview_193.pdf</w:t>
      </w:r>
    </w:p>
    <w:p w:rsidR="000D155C" w:rsidRPr="000D155C" w:rsidRDefault="000D155C" w:rsidP="000D15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Hyperlink"/>
          <w:rFonts w:ascii="Cambria" w:hAnsi="Cambria"/>
          <w:color w:val="auto"/>
        </w:rPr>
      </w:pPr>
      <w:hyperlink r:id="rId7" w:history="1">
        <w:r w:rsidRPr="000D155C">
          <w:rPr>
            <w:rStyle w:val="Hyperlink"/>
            <w:rFonts w:ascii="Cambria" w:hAnsi="Cambria"/>
            <w:color w:val="auto"/>
          </w:rPr>
          <w:t>Body Count: Ph</w:t>
        </w:r>
        <w:r w:rsidRPr="000D155C">
          <w:rPr>
            <w:rStyle w:val="Hyperlink"/>
            <w:rFonts w:ascii="Cambria" w:hAnsi="Cambria"/>
            <w:color w:val="auto"/>
          </w:rPr>
          <w:t>y</w:t>
        </w:r>
        <w:r w:rsidRPr="000D155C">
          <w:rPr>
            <w:rStyle w:val="Hyperlink"/>
            <w:rFonts w:ascii="Cambria" w:hAnsi="Cambria"/>
            <w:color w:val="auto"/>
          </w:rPr>
          <w:t>sicians for Social Responsibility</w:t>
        </w:r>
      </w:hyperlink>
    </w:p>
    <w:p w:rsidR="000D155C" w:rsidRPr="000D155C" w:rsidRDefault="000D155C" w:rsidP="000D15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u w:val="single"/>
        </w:rPr>
      </w:pPr>
      <w:hyperlink r:id="rId8" w:history="1">
        <w:r w:rsidRPr="000D155C">
          <w:rPr>
            <w:rStyle w:val="Hyperlink"/>
            <w:rFonts w:ascii="Cambria" w:hAnsi="Cambria"/>
            <w:color w:val="auto"/>
          </w:rPr>
          <w:t>Ethics of Research in Conflict and Post-Conflict Environments.</w:t>
        </w:r>
      </w:hyperlink>
      <w:r w:rsidRPr="000D155C">
        <w:rPr>
          <w:rFonts w:ascii="Cambria" w:hAnsi="Cambria"/>
        </w:rPr>
        <w:t xml:space="preserve"> Prepared for the Program on States and Security. The Graduate Center, City University New York January 2010. Susanna P. Campbell. </w:t>
      </w:r>
    </w:p>
    <w:p w:rsidR="000D155C" w:rsidRPr="000D155C" w:rsidRDefault="000D155C" w:rsidP="000D15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</w:rPr>
      </w:pPr>
      <w:hyperlink r:id="rId9" w:history="1">
        <w:r w:rsidRPr="000D155C">
          <w:rPr>
            <w:rStyle w:val="Hyperlink"/>
            <w:rFonts w:ascii="Cambria" w:hAnsi="Cambria"/>
            <w:color w:val="auto"/>
          </w:rPr>
          <w:t>Ethical Con</w:t>
        </w:r>
        <w:r w:rsidRPr="000D155C">
          <w:rPr>
            <w:rStyle w:val="Hyperlink"/>
            <w:rFonts w:ascii="Cambria" w:hAnsi="Cambria"/>
            <w:color w:val="auto"/>
          </w:rPr>
          <w:t>s</w:t>
        </w:r>
        <w:r w:rsidRPr="000D155C">
          <w:rPr>
            <w:rStyle w:val="Hyperlink"/>
            <w:rFonts w:ascii="Cambria" w:hAnsi="Cambria"/>
            <w:color w:val="auto"/>
          </w:rPr>
          <w:t>iderations when Interviewing Victims of Violence</w:t>
        </w:r>
      </w:hyperlink>
    </w:p>
    <w:p w:rsidR="000D155C" w:rsidRPr="000D155C" w:rsidRDefault="000D155C" w:rsidP="000D155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</w:rPr>
      </w:pPr>
      <w:hyperlink r:id="rId10" w:history="1">
        <w:r w:rsidRPr="000D155C">
          <w:rPr>
            <w:rStyle w:val="Hyperlink"/>
            <w:rFonts w:ascii="Cambria" w:hAnsi="Cambria"/>
            <w:color w:val="auto"/>
          </w:rPr>
          <w:t>The Dart Cen</w:t>
        </w:r>
        <w:r w:rsidRPr="000D155C">
          <w:rPr>
            <w:rStyle w:val="Hyperlink"/>
            <w:rFonts w:ascii="Cambria" w:hAnsi="Cambria"/>
            <w:color w:val="auto"/>
          </w:rPr>
          <w:t>t</w:t>
        </w:r>
        <w:r w:rsidRPr="000D155C">
          <w:rPr>
            <w:rStyle w:val="Hyperlink"/>
            <w:rFonts w:ascii="Cambria" w:hAnsi="Cambria"/>
            <w:color w:val="auto"/>
          </w:rPr>
          <w:t>er</w:t>
        </w:r>
      </w:hyperlink>
      <w:r w:rsidRPr="000D155C">
        <w:rPr>
          <w:rFonts w:ascii="Cambria" w:hAnsi="Cambria"/>
        </w:rPr>
        <w:t xml:space="preserve"> on interviewing victims of trauma </w:t>
      </w:r>
      <w:hyperlink r:id="rId11" w:history="1">
        <w:r w:rsidRPr="000D155C">
          <w:rPr>
            <w:rStyle w:val="Hyperlink"/>
            <w:rFonts w:ascii="Cambria" w:hAnsi="Cambria"/>
            <w:color w:val="auto"/>
          </w:rPr>
          <w:t>https://dartcenter.org/topic/interviewing</w:t>
        </w:r>
      </w:hyperlink>
      <w:r w:rsidRPr="000D155C">
        <w:rPr>
          <w:rFonts w:ascii="Cambria" w:hAnsi="Cambria"/>
        </w:rPr>
        <w:t xml:space="preserve"> </w:t>
      </w:r>
    </w:p>
    <w:p w:rsidR="000D155C" w:rsidRDefault="000D155C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E9790A" w:rsidRDefault="009C4AF8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Topics covered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(with indicative reading)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:</w:t>
      </w:r>
      <w:r w:rsidR="00E51EE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Note, classes are taught in double sessions</w:t>
      </w:r>
      <w:r w:rsidR="0010016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. Some preliminary readings are listed </w:t>
      </w:r>
      <w:r w:rsid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below</w:t>
      </w:r>
      <w:r w:rsidR="0010016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. </w:t>
      </w:r>
    </w:p>
    <w:p w:rsidR="00E9790A" w:rsidRDefault="00E9790A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9C4AF8" w:rsidRPr="00E9790A" w:rsidRDefault="00100161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A key course resource is the GSDRC hub </w:t>
      </w:r>
      <w:hyperlink r:id="rId12" w:history="1">
        <w:r w:rsidRPr="00E9790A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en-GB"/>
          </w:rPr>
          <w:t>http://www.gsdrc.org/?sfid=47074&amp;s=violence&amp;_sft_gsdrc_pub_type=conflict-analyses</w:t>
        </w:r>
      </w:hyperlink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</w:p>
    <w:p w:rsidR="003D7CD8" w:rsidRPr="00E9790A" w:rsidRDefault="003D7CD8" w:rsidP="00E9790A">
      <w:pPr>
        <w:spacing w:after="0" w:line="280" w:lineRule="atLeast"/>
        <w:rPr>
          <w:rFonts w:ascii="Cambria" w:eastAsia="Times New Roman" w:hAnsi="Cambria" w:cs="Times New Roman"/>
          <w:b/>
          <w:sz w:val="24"/>
          <w:szCs w:val="24"/>
          <w:lang w:val="en-US" w:eastAsia="en-GB"/>
        </w:rPr>
      </w:pPr>
    </w:p>
    <w:p w:rsidR="006F6C4D" w:rsidRPr="00715CCB" w:rsidRDefault="009D6A3D" w:rsidP="00E9790A">
      <w:pPr>
        <w:pStyle w:val="ListParagraph"/>
        <w:numPr>
          <w:ilvl w:val="0"/>
          <w:numId w:val="3"/>
        </w:numPr>
        <w:spacing w:after="0" w:line="280" w:lineRule="atLeast"/>
        <w:ind w:left="284" w:hanging="284"/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</w:pPr>
      <w:r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>Are</w:t>
      </w:r>
      <w:r w:rsidR="009C4AF8"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 xml:space="preserve"> conflict and violence the inevitable condition of humans and of states</w:t>
      </w:r>
    </w:p>
    <w:p w:rsidR="00100161" w:rsidRPr="00E9790A" w:rsidRDefault="00E51EE1" w:rsidP="000D155C">
      <w:pPr>
        <w:spacing w:after="0" w:line="280" w:lineRule="atLeast"/>
        <w:jc w:val="both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The changing nature of war, conflict and violence</w:t>
      </w:r>
      <w:r w:rsidR="0010016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; t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he assumed democracy, peace</w:t>
      </w:r>
      <w:r w:rsidR="0010016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, development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and security nexus</w:t>
      </w:r>
      <w:r w:rsidR="0010016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; t</w:t>
      </w: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>ypologies of conflict and violence</w:t>
      </w:r>
      <w:r w:rsidR="00100161"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; identifying the most violent and most vulnerable to violence; global and sovereign responsibilities for violence and conflict prevention; data sources. </w:t>
      </w:r>
    </w:p>
    <w:p w:rsidR="00100161" w:rsidRPr="00E9790A" w:rsidRDefault="00100161" w:rsidP="00E9790A">
      <w:pPr>
        <w:pStyle w:val="ListParagraph"/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B21E50" w:rsidRPr="00E9790A" w:rsidRDefault="00E9790A" w:rsidP="00E9790A">
      <w:pPr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>
        <w:rPr>
          <w:rFonts w:ascii="Cambria" w:eastAsia="Times New Roman" w:hAnsi="Cambria" w:cs="Times New Roman"/>
          <w:sz w:val="24"/>
          <w:szCs w:val="24"/>
          <w:lang w:val="en-US" w:eastAsia="en-GB"/>
        </w:rPr>
        <w:t>Provisional Reading</w:t>
      </w:r>
    </w:p>
    <w:p w:rsidR="00B21E50" w:rsidRPr="00E9790A" w:rsidRDefault="00B21E50" w:rsidP="00E9790A">
      <w:pPr>
        <w:spacing w:after="0" w:line="280" w:lineRule="atLeast"/>
        <w:ind w:firstLine="284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100161" w:rsidRPr="00E9790A" w:rsidRDefault="00100161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rPr>
          <w:rFonts w:ascii="Cambria" w:eastAsia="Times New Roman" w:hAnsi="Cambria" w:cs="Times New Roman"/>
          <w:sz w:val="24"/>
          <w:szCs w:val="24"/>
          <w:lang w:val="en-US" w:eastAsia="en-GB"/>
        </w:rPr>
      </w:pPr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UNHCR Global trends </w:t>
      </w:r>
      <w:hyperlink r:id="rId13" w:history="1">
        <w:r w:rsidRPr="00E9790A">
          <w:rPr>
            <w:rStyle w:val="Hyperlink"/>
            <w:rFonts w:ascii="Cambria" w:eastAsia="Times New Roman" w:hAnsi="Cambria" w:cs="Times New Roman"/>
            <w:sz w:val="24"/>
            <w:szCs w:val="24"/>
            <w:lang w:val="en-US" w:eastAsia="en-GB"/>
          </w:rPr>
          <w:t>http://www.unhcr.org/556725e69.html</w:t>
        </w:r>
      </w:hyperlink>
      <w:r w:rsidRPr="00E9790A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</w:t>
      </w:r>
    </w:p>
    <w:p w:rsidR="009D6A3D" w:rsidRPr="00E9790A" w:rsidRDefault="009D6A3D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 xml:space="preserve">United Nations (2016) </w:t>
      </w:r>
      <w:r w:rsidRPr="00E9790A">
        <w:rPr>
          <w:rFonts w:ascii="Cambria" w:hAnsi="Cambria" w:cs="Arial"/>
          <w:i/>
          <w:sz w:val="24"/>
          <w:szCs w:val="24"/>
        </w:rPr>
        <w:t>Human Security Agenda: An integrated approach for the realization of the Sustainable Development Goals and the priority areas of the international community and the United Nations system</w:t>
      </w:r>
      <w:r w:rsidRPr="00E9790A">
        <w:rPr>
          <w:rFonts w:ascii="Cambria" w:hAnsi="Cambria" w:cs="Arial"/>
          <w:sz w:val="24"/>
          <w:szCs w:val="24"/>
        </w:rPr>
        <w:t xml:space="preserve">.  </w:t>
      </w:r>
    </w:p>
    <w:p w:rsidR="00E9790A" w:rsidRPr="00E9790A" w:rsidRDefault="00E9790A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>Human Security Report, Trends in Global Violence webpage http://www.hsrgroup.org/human-security-reports/human-security-report.aspx</w:t>
      </w:r>
    </w:p>
    <w:p w:rsidR="004C6CF1" w:rsidRDefault="004C6CF1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Violence Prevention Alliance: </w:t>
      </w:r>
      <w:hyperlink r:id="rId14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http://www.who.int/violenceprevention/approach/definition/en/</w:t>
        </w:r>
      </w:hyperlink>
      <w:r>
        <w:rPr>
          <w:rFonts w:ascii="Cambria" w:hAnsi="Cambria" w:cs="Arial"/>
          <w:sz w:val="24"/>
          <w:szCs w:val="24"/>
        </w:rPr>
        <w:t xml:space="preserve"> and </w:t>
      </w:r>
      <w:hyperlink r:id="rId15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http://www.who.int/violenceprevention/publications/en/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:rsidR="009D6A3D" w:rsidRPr="00E9790A" w:rsidRDefault="009D6A3D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 xml:space="preserve">S. Pinker (2011) </w:t>
      </w:r>
      <w:r w:rsidRPr="00E9790A">
        <w:rPr>
          <w:rFonts w:ascii="Cambria" w:hAnsi="Cambria" w:cs="Arial"/>
          <w:i/>
          <w:sz w:val="24"/>
          <w:szCs w:val="24"/>
        </w:rPr>
        <w:t>The Better Angels of our Nature</w:t>
      </w:r>
      <w:r w:rsidRPr="00E9790A">
        <w:rPr>
          <w:rFonts w:ascii="Cambria" w:hAnsi="Cambria" w:cs="Arial"/>
          <w:sz w:val="24"/>
          <w:szCs w:val="24"/>
        </w:rPr>
        <w:t>, New York, NY: Viking, p.378-394 and p.672-678</w:t>
      </w:r>
    </w:p>
    <w:p w:rsidR="009D6A3D" w:rsidRPr="00E9790A" w:rsidRDefault="009D6A3D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 xml:space="preserve">S. Bastian (2004) ‘Human Rights and Human Security: an Emancipatory Political Project’, </w:t>
      </w:r>
      <w:r w:rsidRPr="00E9790A">
        <w:rPr>
          <w:rFonts w:ascii="Cambria" w:hAnsi="Cambria" w:cs="Arial"/>
          <w:i/>
          <w:sz w:val="24"/>
          <w:szCs w:val="24"/>
        </w:rPr>
        <w:t>Conflict, Security &amp; Development</w:t>
      </w:r>
      <w:r w:rsidRPr="00E9790A">
        <w:rPr>
          <w:rFonts w:ascii="Cambria" w:hAnsi="Cambria" w:cs="Arial"/>
          <w:sz w:val="24"/>
          <w:szCs w:val="24"/>
        </w:rPr>
        <w:t xml:space="preserve">, vol. 4, issue 3 </w:t>
      </w:r>
    </w:p>
    <w:p w:rsidR="00B21E50" w:rsidRPr="00E9790A" w:rsidRDefault="009D6A3D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 xml:space="preserve">P. </w:t>
      </w:r>
      <w:r w:rsidR="00B21E50" w:rsidRPr="00E9790A">
        <w:rPr>
          <w:rFonts w:ascii="Cambria" w:hAnsi="Cambria" w:cs="Arial"/>
          <w:sz w:val="24"/>
          <w:szCs w:val="24"/>
        </w:rPr>
        <w:t xml:space="preserve">Mello (2010) ‘Review article: In search of new wars: The debate about a transformation of war’, </w:t>
      </w:r>
      <w:r w:rsidR="00B21E50" w:rsidRPr="00E9790A">
        <w:rPr>
          <w:rFonts w:ascii="Cambria" w:hAnsi="Cambria" w:cs="Arial"/>
          <w:i/>
          <w:sz w:val="24"/>
          <w:szCs w:val="24"/>
        </w:rPr>
        <w:t>European Journal of International Relations</w:t>
      </w:r>
      <w:r w:rsidR="00B21E50" w:rsidRPr="00E9790A">
        <w:rPr>
          <w:rFonts w:ascii="Cambria" w:hAnsi="Cambria" w:cs="Arial"/>
          <w:sz w:val="24"/>
          <w:szCs w:val="24"/>
        </w:rPr>
        <w:t xml:space="preserve"> 16(2): 297–309.</w:t>
      </w:r>
    </w:p>
    <w:p w:rsidR="00B21E50" w:rsidRDefault="009D6A3D" w:rsidP="00715CCB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 xml:space="preserve">E. </w:t>
      </w:r>
      <w:r w:rsidR="00B21E50" w:rsidRPr="00E9790A">
        <w:rPr>
          <w:rFonts w:ascii="Cambria" w:hAnsi="Cambria" w:cs="Arial"/>
          <w:sz w:val="24"/>
          <w:szCs w:val="24"/>
        </w:rPr>
        <w:t>Melander, Magnus Öberg &amp; Jonathan Hall</w:t>
      </w:r>
      <w:r w:rsidR="00E9790A" w:rsidRPr="00E9790A">
        <w:rPr>
          <w:rFonts w:ascii="Cambria" w:hAnsi="Cambria" w:cs="Arial"/>
          <w:sz w:val="24"/>
          <w:szCs w:val="24"/>
        </w:rPr>
        <w:t xml:space="preserve"> (2006)</w:t>
      </w:r>
      <w:r w:rsidR="00B21E50" w:rsidRPr="00E9790A">
        <w:rPr>
          <w:rFonts w:ascii="Cambria" w:hAnsi="Cambria" w:cs="Arial"/>
          <w:sz w:val="24"/>
          <w:szCs w:val="24"/>
        </w:rPr>
        <w:t xml:space="preserve"> ‘The “new wars” debate revisited: an empirical evaluation of the atrociousness of “new wars”’</w:t>
      </w:r>
      <w:r w:rsidR="00E9790A" w:rsidRPr="00E9790A">
        <w:rPr>
          <w:rFonts w:ascii="Cambria" w:hAnsi="Cambria" w:cs="Arial"/>
          <w:sz w:val="24"/>
          <w:szCs w:val="24"/>
        </w:rPr>
        <w:t>.</w:t>
      </w:r>
    </w:p>
    <w:p w:rsidR="004C6CF1" w:rsidRPr="00E9790A" w:rsidRDefault="004C6CF1" w:rsidP="004C6CF1">
      <w:pPr>
        <w:pStyle w:val="ListParagraph"/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</w:p>
    <w:p w:rsidR="00100161" w:rsidRPr="00E9790A" w:rsidRDefault="00100161" w:rsidP="00E9790A">
      <w:pPr>
        <w:pStyle w:val="ListParagraph"/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4C6CF1" w:rsidRPr="00715CCB" w:rsidRDefault="00E9790A" w:rsidP="004C6CF1">
      <w:pPr>
        <w:pStyle w:val="ListParagraph"/>
        <w:numPr>
          <w:ilvl w:val="0"/>
          <w:numId w:val="3"/>
        </w:numPr>
        <w:spacing w:after="0" w:line="280" w:lineRule="atLeast"/>
        <w:ind w:left="284" w:hanging="284"/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</w:pPr>
      <w:r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 xml:space="preserve">The </w:t>
      </w:r>
      <w:r w:rsid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>m</w:t>
      </w:r>
      <w:r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 xml:space="preserve">ultiple explanations of causes of </w:t>
      </w:r>
      <w:r w:rsidR="00E51EE1"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>conflict</w:t>
      </w:r>
      <w:r w:rsidR="006C1292"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 xml:space="preserve"> and violence</w:t>
      </w:r>
    </w:p>
    <w:p w:rsidR="00E9790A" w:rsidRPr="004C6CF1" w:rsidRDefault="00E51EE1" w:rsidP="004C6CF1">
      <w:pPr>
        <w:spacing w:after="0" w:line="280" w:lineRule="atLeast"/>
        <w:rPr>
          <w:rFonts w:ascii="Cambria" w:eastAsia="Times New Roman" w:hAnsi="Cambria" w:cs="Times New Roman"/>
          <w:i/>
          <w:sz w:val="24"/>
          <w:szCs w:val="24"/>
          <w:lang w:val="en-US" w:eastAsia="en-GB"/>
        </w:rPr>
      </w:pPr>
      <w:r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Resources, </w:t>
      </w:r>
      <w:r w:rsidR="006C1292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inequality, </w:t>
      </w:r>
      <w:r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gender, </w:t>
      </w:r>
      <w:r w:rsidR="009D6A3D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religion, </w:t>
      </w:r>
      <w:r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>ethnicity</w:t>
      </w:r>
      <w:r w:rsidR="00075579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>, environment and climate</w:t>
      </w:r>
      <w:r w:rsidR="00E9790A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>; t</w:t>
      </w:r>
      <w:r w:rsidR="00E9790A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>he state, fragile states</w:t>
      </w:r>
      <w:r w:rsidR="004C6CF1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and</w:t>
      </w:r>
      <w:r w:rsidR="00E9790A" w:rsidRPr="004C6CF1">
        <w:rPr>
          <w:rFonts w:ascii="Cambria" w:eastAsia="Times New Roman" w:hAnsi="Cambria" w:cs="Times New Roman"/>
          <w:sz w:val="24"/>
          <w:szCs w:val="24"/>
          <w:lang w:val="en-US" w:eastAsia="en-GB"/>
        </w:rPr>
        <w:t xml:space="preserve"> the interstate system</w:t>
      </w:r>
    </w:p>
    <w:p w:rsidR="00E51EE1" w:rsidRPr="00E9790A" w:rsidRDefault="00E51EE1" w:rsidP="00E9790A">
      <w:pPr>
        <w:pStyle w:val="ListParagraph"/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9D6A3D" w:rsidRPr="00E9790A" w:rsidRDefault="004C6CF1" w:rsidP="004C6CF1">
      <w:pPr>
        <w:pStyle w:val="NormalWeb"/>
        <w:numPr>
          <w:ilvl w:val="0"/>
          <w:numId w:val="17"/>
        </w:numPr>
        <w:spacing w:before="0" w:beforeAutospacing="0" w:after="0" w:afterAutospacing="0" w:line="280" w:lineRule="atLeast"/>
        <w:ind w:left="284" w:hanging="284"/>
        <w:rPr>
          <w:rFonts w:ascii="Cambria" w:hAnsi="Cambria" w:cstheme="minorBidi"/>
        </w:rPr>
      </w:pPr>
      <w:r>
        <w:rPr>
          <w:rFonts w:ascii="Cambria" w:hAnsi="Cambria"/>
        </w:rPr>
        <w:t xml:space="preserve">A. </w:t>
      </w:r>
      <w:r w:rsidR="009D6A3D" w:rsidRPr="00E9790A">
        <w:rPr>
          <w:rFonts w:ascii="Cambria" w:hAnsi="Cambria"/>
        </w:rPr>
        <w:t>Sen (2008</w:t>
      </w:r>
      <w:r>
        <w:rPr>
          <w:rFonts w:ascii="Cambria" w:hAnsi="Cambria"/>
        </w:rPr>
        <w:t xml:space="preserve">) </w:t>
      </w:r>
      <w:hyperlink r:id="rId16" w:history="1">
        <w:r w:rsidR="009D6A3D" w:rsidRPr="00E9790A">
          <w:rPr>
            <w:rStyle w:val="Hyperlink"/>
            <w:rFonts w:ascii="Cambria" w:hAnsi="Cambria" w:cstheme="minorBidi"/>
          </w:rPr>
          <w:t>Violence, Identity and Poverty</w:t>
        </w:r>
      </w:hyperlink>
      <w:r w:rsidR="009D6A3D" w:rsidRPr="00E9790A">
        <w:rPr>
          <w:rFonts w:ascii="Cambria" w:hAnsi="Cambria" w:cstheme="minorBidi"/>
        </w:rPr>
        <w:t xml:space="preserve">. </w:t>
      </w:r>
      <w:r w:rsidR="009D6A3D" w:rsidRPr="00E9790A">
        <w:rPr>
          <w:rFonts w:ascii="Cambria" w:hAnsi="Cambria" w:cstheme="minorBidi"/>
          <w:i/>
        </w:rPr>
        <w:t>Journal of Peace Research</w:t>
      </w:r>
      <w:r w:rsidR="009D6A3D" w:rsidRPr="00E9790A">
        <w:rPr>
          <w:rFonts w:ascii="Cambria" w:hAnsi="Cambria" w:cstheme="minorBidi"/>
        </w:rPr>
        <w:t xml:space="preserve"> 2008; 45; 5 </w:t>
      </w:r>
      <w:r w:rsidR="009D6A3D" w:rsidRPr="00E9790A">
        <w:rPr>
          <w:rFonts w:ascii="Cambria" w:hAnsi="Cambria" w:cstheme="minorBidi"/>
        </w:rPr>
        <w:t xml:space="preserve"> </w:t>
      </w:r>
      <w:r w:rsidR="009D6A3D" w:rsidRPr="00E9790A">
        <w:rPr>
          <w:rFonts w:ascii="Cambria" w:hAnsi="Cambria" w:cstheme="minorBidi"/>
        </w:rPr>
        <w:t xml:space="preserve"> </w:t>
      </w:r>
    </w:p>
    <w:p w:rsidR="00B21E50" w:rsidRPr="00E9790A" w:rsidRDefault="004C6CF1" w:rsidP="004C6CF1">
      <w:pPr>
        <w:pStyle w:val="ListParagraph"/>
        <w:numPr>
          <w:ilvl w:val="0"/>
          <w:numId w:val="17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M. </w:t>
      </w:r>
      <w:r w:rsidR="00B21E50" w:rsidRPr="00E9790A">
        <w:rPr>
          <w:rFonts w:ascii="Cambria" w:hAnsi="Cambria" w:cs="Arial"/>
          <w:sz w:val="24"/>
          <w:szCs w:val="24"/>
        </w:rPr>
        <w:t xml:space="preserve">Berdal 'Beyond greed and grievance — and not too soon...', </w:t>
      </w:r>
      <w:r w:rsidR="00B21E50" w:rsidRPr="00E9790A">
        <w:rPr>
          <w:rFonts w:ascii="Cambria" w:hAnsi="Cambria" w:cs="Arial"/>
          <w:i/>
          <w:sz w:val="24"/>
          <w:szCs w:val="24"/>
        </w:rPr>
        <w:t>Review of International Studies</w:t>
      </w:r>
      <w:r w:rsidR="00B21E50" w:rsidRPr="00E9790A">
        <w:rPr>
          <w:rFonts w:ascii="Cambria" w:hAnsi="Cambria" w:cs="Arial"/>
          <w:sz w:val="24"/>
          <w:szCs w:val="24"/>
        </w:rPr>
        <w:t>. 31 (2005): 687-698.</w:t>
      </w:r>
    </w:p>
    <w:p w:rsidR="00B21E50" w:rsidRPr="00E9790A" w:rsidRDefault="004C6CF1" w:rsidP="004C6CF1">
      <w:pPr>
        <w:pStyle w:val="ListParagraph"/>
        <w:numPr>
          <w:ilvl w:val="0"/>
          <w:numId w:val="17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D. </w:t>
      </w:r>
      <w:r w:rsidR="00B21E50" w:rsidRPr="00E9790A">
        <w:rPr>
          <w:rFonts w:ascii="Cambria" w:hAnsi="Cambria" w:cs="Arial"/>
          <w:sz w:val="24"/>
          <w:szCs w:val="24"/>
        </w:rPr>
        <w:t>Malone and Heiko Nitzschke</w:t>
      </w:r>
      <w:r>
        <w:rPr>
          <w:rFonts w:ascii="Cambria" w:hAnsi="Cambria" w:cs="Arial"/>
          <w:sz w:val="24"/>
          <w:szCs w:val="24"/>
        </w:rPr>
        <w:t xml:space="preserve"> (2005)</w:t>
      </w:r>
      <w:r w:rsidR="00B21E50" w:rsidRPr="00E9790A">
        <w:rPr>
          <w:rFonts w:ascii="Cambria" w:hAnsi="Cambria" w:cs="Arial"/>
          <w:sz w:val="24"/>
          <w:szCs w:val="24"/>
        </w:rPr>
        <w:t xml:space="preserve"> ‘Economic Agendas in Civil Wars: What We Know, What We Need to Know’, Discussion Paper no. 2005/07, WIDER: United</w:t>
      </w:r>
      <w:r>
        <w:rPr>
          <w:rFonts w:ascii="Cambria" w:hAnsi="Cambria" w:cs="Arial"/>
          <w:sz w:val="24"/>
          <w:szCs w:val="24"/>
        </w:rPr>
        <w:t xml:space="preserve"> Nations University.</w:t>
      </w:r>
      <w:r w:rsidR="00B21E50" w:rsidRPr="00E9790A">
        <w:rPr>
          <w:rFonts w:ascii="Cambria" w:hAnsi="Cambria" w:cs="Arial"/>
          <w:sz w:val="24"/>
          <w:szCs w:val="24"/>
        </w:rPr>
        <w:t xml:space="preserve"> Available at: </w:t>
      </w:r>
      <w:hyperlink r:id="rId17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https://www.wider.unu.edu/sites/default/files/dp2005-07.pdf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:rsidR="00B21E50" w:rsidRPr="00E9790A" w:rsidRDefault="004C6CF1" w:rsidP="004C6C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ind w:left="284" w:hanging="284"/>
        <w:rPr>
          <w:rFonts w:ascii="Cambria" w:eastAsia="SimSun" w:hAnsi="Cambria" w:cs="Arial"/>
          <w:sz w:val="24"/>
          <w:szCs w:val="24"/>
          <w:lang w:eastAsia="en-GB"/>
        </w:rPr>
      </w:pPr>
      <w:r>
        <w:rPr>
          <w:rFonts w:ascii="Cambria" w:eastAsia="SimSun" w:hAnsi="Cambria" w:cs="Arial"/>
          <w:sz w:val="24"/>
          <w:szCs w:val="24"/>
          <w:lang w:eastAsia="en-GB"/>
        </w:rPr>
        <w:t xml:space="preserve">M. </w:t>
      </w:r>
      <w:r w:rsidR="00B21E50" w:rsidRPr="00E9790A">
        <w:rPr>
          <w:rFonts w:ascii="Cambria" w:eastAsia="SimSun" w:hAnsi="Cambria" w:cs="Arial"/>
          <w:sz w:val="24"/>
          <w:szCs w:val="24"/>
          <w:lang w:eastAsia="en-GB"/>
        </w:rPr>
        <w:t>Ross</w:t>
      </w:r>
      <w:r>
        <w:rPr>
          <w:rFonts w:ascii="Cambria" w:eastAsia="SimSun" w:hAnsi="Cambria" w:cs="Arial"/>
          <w:sz w:val="24"/>
          <w:szCs w:val="24"/>
          <w:lang w:eastAsia="en-GB"/>
        </w:rPr>
        <w:t xml:space="preserve"> (</w:t>
      </w:r>
      <w:r w:rsidR="00B21E50" w:rsidRPr="00E9790A">
        <w:rPr>
          <w:rFonts w:ascii="Cambria" w:eastAsia="SimSun" w:hAnsi="Cambria" w:cs="Arial"/>
          <w:sz w:val="24"/>
          <w:szCs w:val="24"/>
          <w:lang w:eastAsia="en-GB"/>
        </w:rPr>
        <w:t xml:space="preserve">2004) ‘How does natural resource wealth influence civil war? Evidence from 13 cases’, in </w:t>
      </w:r>
      <w:r w:rsidR="00B21E50" w:rsidRPr="00E9790A">
        <w:rPr>
          <w:rFonts w:ascii="Cambria" w:eastAsia="SimSun" w:hAnsi="Cambria" w:cs="Arial"/>
          <w:i/>
          <w:iCs/>
          <w:sz w:val="24"/>
          <w:szCs w:val="24"/>
          <w:lang w:eastAsia="en-GB"/>
        </w:rPr>
        <w:t xml:space="preserve">International Organization </w:t>
      </w:r>
      <w:r w:rsidR="00B21E50" w:rsidRPr="00E9790A">
        <w:rPr>
          <w:rFonts w:ascii="Cambria" w:eastAsia="SimSun" w:hAnsi="Cambria" w:cs="Arial"/>
          <w:sz w:val="24"/>
          <w:szCs w:val="24"/>
          <w:lang w:eastAsia="en-GB"/>
        </w:rPr>
        <w:t>58 (1): 35-67.</w:t>
      </w:r>
    </w:p>
    <w:p w:rsidR="00B21E50" w:rsidRPr="00E9790A" w:rsidRDefault="00B21E50" w:rsidP="004C6CF1">
      <w:pPr>
        <w:pStyle w:val="ListParagraph"/>
        <w:numPr>
          <w:ilvl w:val="0"/>
          <w:numId w:val="17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iCs/>
          <w:sz w:val="24"/>
          <w:szCs w:val="24"/>
          <w:lang w:eastAsia="en-GB"/>
        </w:rPr>
        <w:t>J</w:t>
      </w:r>
      <w:r w:rsidR="004C6CF1">
        <w:rPr>
          <w:rFonts w:ascii="Cambria" w:hAnsi="Cambria" w:cs="Arial"/>
          <w:iCs/>
          <w:sz w:val="24"/>
          <w:szCs w:val="24"/>
          <w:lang w:eastAsia="en-GB"/>
        </w:rPr>
        <w:t xml:space="preserve">. </w:t>
      </w:r>
      <w:r w:rsidRPr="00E9790A">
        <w:rPr>
          <w:rFonts w:ascii="Cambria" w:hAnsi="Cambria" w:cs="Arial"/>
          <w:iCs/>
          <w:sz w:val="24"/>
          <w:szCs w:val="24"/>
          <w:lang w:eastAsia="en-GB"/>
        </w:rPr>
        <w:t xml:space="preserve">Z. Muller, ‘Us and Them: The Enduring Power of Ethnic Nationalism’, </w:t>
      </w:r>
      <w:r w:rsidRPr="00E9790A">
        <w:rPr>
          <w:rFonts w:ascii="Cambria" w:hAnsi="Cambria" w:cs="Arial"/>
          <w:i/>
          <w:iCs/>
          <w:sz w:val="24"/>
          <w:szCs w:val="24"/>
          <w:lang w:eastAsia="en-GB"/>
        </w:rPr>
        <w:t>Foreign Affairs</w:t>
      </w:r>
      <w:r w:rsidRPr="00E9790A">
        <w:rPr>
          <w:rFonts w:ascii="Cambria" w:hAnsi="Cambria" w:cs="Arial"/>
          <w:iCs/>
          <w:sz w:val="24"/>
          <w:szCs w:val="24"/>
          <w:lang w:eastAsia="en-GB"/>
        </w:rPr>
        <w:t xml:space="preserve">, March/April 2008. See also response in July/August 2008 edition (‘Is ethnic conflict inevitable?’). Available at: </w:t>
      </w:r>
      <w:hyperlink r:id="rId18" w:history="1">
        <w:r w:rsidRPr="00E9790A">
          <w:rPr>
            <w:rStyle w:val="Hyperlink"/>
            <w:rFonts w:ascii="Cambria" w:hAnsi="Cambria" w:cs="Arial"/>
            <w:iCs/>
            <w:color w:val="auto"/>
            <w:sz w:val="24"/>
            <w:szCs w:val="24"/>
            <w:lang w:eastAsia="en-GB"/>
          </w:rPr>
          <w:t>http://www.foreignaffairs.com/articles/64457/james-habyarimana-macartan-humphreys-daniel-posner-jeremy-weinst/is-ethnic-conflict-inevitable?page=show</w:t>
        </w:r>
      </w:hyperlink>
      <w:r w:rsidRPr="00E9790A">
        <w:rPr>
          <w:rFonts w:ascii="Cambria" w:hAnsi="Cambria" w:cs="Arial"/>
          <w:iCs/>
          <w:sz w:val="24"/>
          <w:szCs w:val="24"/>
          <w:lang w:eastAsia="en-GB"/>
        </w:rPr>
        <w:t xml:space="preserve"> </w:t>
      </w:r>
    </w:p>
    <w:p w:rsidR="00B21E50" w:rsidRPr="00E9790A" w:rsidRDefault="00B21E50" w:rsidP="004C6CF1">
      <w:pPr>
        <w:pStyle w:val="ListParagraph"/>
        <w:numPr>
          <w:ilvl w:val="0"/>
          <w:numId w:val="17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E9790A">
        <w:rPr>
          <w:rFonts w:ascii="Cambria" w:hAnsi="Cambria" w:cs="Arial"/>
          <w:sz w:val="24"/>
          <w:szCs w:val="24"/>
        </w:rPr>
        <w:t xml:space="preserve">Mueller, J., ‘The banality of “ethnic war”’, </w:t>
      </w:r>
      <w:hyperlink r:id="rId19" w:history="1">
        <w:r w:rsidRPr="00E9790A">
          <w:rPr>
            <w:rStyle w:val="Hyperlink"/>
            <w:rFonts w:ascii="Cambria" w:hAnsi="Cambria" w:cs="Arial"/>
            <w:i/>
            <w:color w:val="auto"/>
            <w:sz w:val="24"/>
            <w:szCs w:val="24"/>
          </w:rPr>
          <w:t>International Security</w:t>
        </w:r>
      </w:hyperlink>
      <w:r w:rsidRPr="00E9790A">
        <w:rPr>
          <w:rFonts w:ascii="Cambria" w:hAnsi="Cambria" w:cs="Arial"/>
          <w:sz w:val="24"/>
          <w:szCs w:val="24"/>
        </w:rPr>
        <w:t xml:space="preserve"> 25 (1), 2000 and the rejoinder from Anna Simons (</w:t>
      </w:r>
      <w:r w:rsidRPr="00E9790A">
        <w:rPr>
          <w:rFonts w:ascii="Cambria" w:hAnsi="Cambria" w:cs="Arial"/>
          <w:i/>
          <w:iCs/>
          <w:sz w:val="24"/>
          <w:szCs w:val="24"/>
        </w:rPr>
        <w:t>International Security</w:t>
      </w:r>
      <w:r w:rsidRPr="00E9790A">
        <w:rPr>
          <w:rFonts w:ascii="Cambria" w:hAnsi="Cambria" w:cs="Arial"/>
          <w:sz w:val="24"/>
          <w:szCs w:val="24"/>
        </w:rPr>
        <w:t xml:space="preserve">, Vol. 25 (4), Spring 2001, pp. 187-192. </w:t>
      </w:r>
    </w:p>
    <w:p w:rsidR="009D6A3D" w:rsidRPr="004C6CF1" w:rsidRDefault="009D6A3D" w:rsidP="004C6CF1">
      <w:pPr>
        <w:pStyle w:val="ListParagraph"/>
        <w:numPr>
          <w:ilvl w:val="0"/>
          <w:numId w:val="17"/>
        </w:numPr>
        <w:spacing w:after="0" w:line="280" w:lineRule="atLeast"/>
        <w:ind w:left="284" w:hanging="284"/>
        <w:rPr>
          <w:rFonts w:ascii="Cambria" w:hAnsi="Cambria"/>
          <w:sz w:val="24"/>
          <w:szCs w:val="24"/>
        </w:rPr>
      </w:pPr>
      <w:r w:rsidRPr="004C6CF1">
        <w:rPr>
          <w:rFonts w:ascii="Cambria" w:hAnsi="Cambria"/>
          <w:sz w:val="24"/>
          <w:szCs w:val="24"/>
        </w:rPr>
        <w:t xml:space="preserve">E. Green (2014) </w:t>
      </w:r>
      <w:hyperlink r:id="rId20" w:history="1">
        <w:r w:rsidRPr="004C6CF1">
          <w:rPr>
            <w:rStyle w:val="Hyperlink"/>
            <w:rFonts w:ascii="Cambria" w:hAnsi="Cambria"/>
            <w:sz w:val="24"/>
            <w:szCs w:val="24"/>
          </w:rPr>
          <w:t>Is Religion Inherently Violent?</w:t>
        </w:r>
      </w:hyperlink>
      <w:r w:rsidRPr="004C6CF1">
        <w:rPr>
          <w:rFonts w:ascii="Cambria" w:hAnsi="Cambria"/>
          <w:sz w:val="24"/>
          <w:szCs w:val="24"/>
        </w:rPr>
        <w:t xml:space="preserve"> </w:t>
      </w:r>
      <w:r w:rsidRPr="004C6CF1">
        <w:rPr>
          <w:rFonts w:ascii="Cambria" w:hAnsi="Cambria"/>
          <w:i/>
          <w:sz w:val="24"/>
          <w:szCs w:val="24"/>
        </w:rPr>
        <w:t>The Atlantic</w:t>
      </w:r>
      <w:r w:rsidRPr="004C6CF1">
        <w:rPr>
          <w:rFonts w:ascii="Cambria" w:hAnsi="Cambria"/>
          <w:sz w:val="24"/>
          <w:szCs w:val="24"/>
        </w:rPr>
        <w:t>. 4 November 2014.</w:t>
      </w:r>
    </w:p>
    <w:p w:rsidR="009D6A3D" w:rsidRPr="00E9790A" w:rsidRDefault="009D6A3D" w:rsidP="004C6CF1">
      <w:pPr>
        <w:pStyle w:val="NormalWeb"/>
        <w:numPr>
          <w:ilvl w:val="0"/>
          <w:numId w:val="17"/>
        </w:numPr>
        <w:spacing w:before="0" w:beforeAutospacing="0" w:after="0" w:afterAutospacing="0" w:line="280" w:lineRule="atLeast"/>
        <w:ind w:left="284" w:hanging="284"/>
        <w:rPr>
          <w:rFonts w:ascii="Cambria" w:hAnsi="Cambria" w:cstheme="minorBidi"/>
        </w:rPr>
      </w:pPr>
      <w:r w:rsidRPr="00E9790A">
        <w:rPr>
          <w:rFonts w:ascii="Cambria" w:hAnsi="Cambria" w:cstheme="minorBidi"/>
        </w:rPr>
        <w:t>S</w:t>
      </w:r>
      <w:r w:rsidR="004C6CF1">
        <w:rPr>
          <w:rFonts w:ascii="Cambria" w:hAnsi="Cambria" w:cstheme="minorBidi"/>
        </w:rPr>
        <w:t xml:space="preserve">. </w:t>
      </w:r>
      <w:r w:rsidRPr="00E9790A">
        <w:rPr>
          <w:rFonts w:ascii="Cambria" w:hAnsi="Cambria" w:cstheme="minorBidi"/>
        </w:rPr>
        <w:t xml:space="preserve">Fetzek &amp; Jeffrey Mazo (2014) </w:t>
      </w:r>
      <w:hyperlink r:id="rId21" w:history="1">
        <w:r w:rsidRPr="00E9790A">
          <w:rPr>
            <w:rStyle w:val="Hyperlink"/>
            <w:rFonts w:ascii="Cambria" w:hAnsi="Cambria" w:cstheme="minorBidi"/>
          </w:rPr>
          <w:t>Climate, Scarcity and Conflict</w:t>
        </w:r>
      </w:hyperlink>
      <w:r w:rsidR="00E9790A" w:rsidRPr="00E9790A">
        <w:rPr>
          <w:rFonts w:ascii="Cambria" w:hAnsi="Cambria" w:cstheme="minorBidi"/>
        </w:rPr>
        <w:t>, Survival, 56:5, 143-170.</w:t>
      </w:r>
    </w:p>
    <w:p w:rsidR="009D6A3D" w:rsidRPr="00E9790A" w:rsidRDefault="009D6A3D" w:rsidP="004C6CF1">
      <w:pPr>
        <w:pStyle w:val="NormalWeb"/>
        <w:numPr>
          <w:ilvl w:val="0"/>
          <w:numId w:val="17"/>
        </w:numPr>
        <w:spacing w:before="0" w:beforeAutospacing="0" w:after="0" w:afterAutospacing="0" w:line="280" w:lineRule="atLeast"/>
        <w:ind w:left="284" w:hanging="284"/>
        <w:rPr>
          <w:rFonts w:ascii="Cambria" w:hAnsi="Cambria" w:cstheme="minorBidi"/>
        </w:rPr>
      </w:pPr>
      <w:r w:rsidRPr="00E9790A">
        <w:rPr>
          <w:rFonts w:ascii="Cambria" w:hAnsi="Cambria" w:cstheme="minorBidi"/>
        </w:rPr>
        <w:t>T</w:t>
      </w:r>
      <w:r w:rsidR="004C6CF1">
        <w:rPr>
          <w:rFonts w:ascii="Cambria" w:hAnsi="Cambria" w:cstheme="minorBidi"/>
        </w:rPr>
        <w:t>.</w:t>
      </w:r>
      <w:r w:rsidRPr="00E9790A">
        <w:rPr>
          <w:rFonts w:ascii="Cambria" w:hAnsi="Cambria" w:cstheme="minorBidi"/>
        </w:rPr>
        <w:t xml:space="preserve"> Ide &amp; Jürgen Scheffran (2014) </w:t>
      </w:r>
      <w:hyperlink r:id="rId22" w:history="1">
        <w:r w:rsidRPr="00E9790A">
          <w:rPr>
            <w:rStyle w:val="Hyperlink"/>
            <w:rFonts w:ascii="Cambria" w:hAnsi="Cambria" w:cstheme="minorBidi"/>
          </w:rPr>
          <w:t>On climate, conflict and cumulation: suggestions for integrative cumulation of knowledge in the research on climate change and violent conflict</w:t>
        </w:r>
      </w:hyperlink>
      <w:r w:rsidRPr="00E9790A">
        <w:rPr>
          <w:rFonts w:ascii="Cambria" w:hAnsi="Cambria" w:cstheme="minorBidi"/>
        </w:rPr>
        <w:t xml:space="preserve">, </w:t>
      </w:r>
      <w:r w:rsidRPr="004C6CF1">
        <w:rPr>
          <w:rFonts w:ascii="Cambria" w:hAnsi="Cambria" w:cstheme="minorBidi"/>
          <w:i/>
        </w:rPr>
        <w:t>Global Change, Peace &amp; Security</w:t>
      </w:r>
      <w:r w:rsidRPr="00E9790A">
        <w:rPr>
          <w:rFonts w:ascii="Cambria" w:hAnsi="Cambria" w:cstheme="minorBidi"/>
        </w:rPr>
        <w:t>, 26:3, 263-279</w:t>
      </w:r>
      <w:r w:rsidR="00E9790A" w:rsidRPr="00E9790A">
        <w:rPr>
          <w:rFonts w:ascii="Cambria" w:hAnsi="Cambria" w:cstheme="minorBidi"/>
        </w:rPr>
        <w:t>.</w:t>
      </w:r>
      <w:r w:rsidRPr="00E9790A">
        <w:rPr>
          <w:rFonts w:ascii="Cambria" w:hAnsi="Cambria" w:cstheme="minorBidi"/>
        </w:rPr>
        <w:t xml:space="preserve"> </w:t>
      </w:r>
    </w:p>
    <w:p w:rsidR="009D6A3D" w:rsidRPr="00E9790A" w:rsidRDefault="009D6A3D" w:rsidP="004C6CF1">
      <w:pPr>
        <w:pStyle w:val="NormalWeb"/>
        <w:numPr>
          <w:ilvl w:val="0"/>
          <w:numId w:val="17"/>
        </w:numPr>
        <w:spacing w:before="0" w:beforeAutospacing="0" w:after="0" w:afterAutospacing="0" w:line="280" w:lineRule="atLeast"/>
        <w:ind w:left="284" w:hanging="284"/>
        <w:rPr>
          <w:rFonts w:ascii="Cambria" w:hAnsi="Cambria" w:cstheme="minorBidi"/>
        </w:rPr>
      </w:pPr>
      <w:r w:rsidRPr="00E9790A">
        <w:rPr>
          <w:rFonts w:ascii="Cambria" w:hAnsi="Cambria" w:cstheme="minorBidi"/>
        </w:rPr>
        <w:t>F</w:t>
      </w:r>
      <w:r w:rsidR="004C6CF1">
        <w:rPr>
          <w:rFonts w:ascii="Cambria" w:hAnsi="Cambria" w:cstheme="minorBidi"/>
        </w:rPr>
        <w:t>.</w:t>
      </w:r>
      <w:r w:rsidRPr="00E9790A">
        <w:rPr>
          <w:rFonts w:ascii="Cambria" w:hAnsi="Cambria" w:cstheme="minorBidi"/>
        </w:rPr>
        <w:t xml:space="preserve"> De Châtel (2014) </w:t>
      </w:r>
      <w:hyperlink r:id="rId23" w:history="1">
        <w:r w:rsidRPr="00E9790A">
          <w:rPr>
            <w:rStyle w:val="Hyperlink"/>
            <w:rFonts w:ascii="Cambria" w:hAnsi="Cambria" w:cstheme="minorBidi"/>
          </w:rPr>
          <w:t>The Role of Drought and Climate Change in the Syrian Uprising: Untangling the Triggers of the Revolution,</w:t>
        </w:r>
      </w:hyperlink>
      <w:r w:rsidRPr="00E9790A">
        <w:rPr>
          <w:rFonts w:ascii="Cambria" w:hAnsi="Cambria" w:cstheme="minorBidi"/>
        </w:rPr>
        <w:t xml:space="preserve"> Middle Eastern Studies, 50:4, 521-535</w:t>
      </w:r>
      <w:r w:rsidR="00E9790A" w:rsidRPr="00E9790A">
        <w:rPr>
          <w:rFonts w:ascii="Cambria" w:hAnsi="Cambria" w:cstheme="minorBidi"/>
        </w:rPr>
        <w:t>.</w:t>
      </w:r>
      <w:r w:rsidRPr="00E9790A">
        <w:rPr>
          <w:rFonts w:ascii="Cambria" w:hAnsi="Cambria" w:cstheme="minorBidi"/>
        </w:rPr>
        <w:t xml:space="preserve"> </w:t>
      </w:r>
    </w:p>
    <w:p w:rsidR="00B21E50" w:rsidRPr="00E9790A" w:rsidRDefault="004C6CF1" w:rsidP="004C6CF1">
      <w:pPr>
        <w:pStyle w:val="ListParagraph"/>
        <w:numPr>
          <w:ilvl w:val="1"/>
          <w:numId w:val="17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W. </w:t>
      </w:r>
      <w:r w:rsidR="00B21E50" w:rsidRPr="00E9790A">
        <w:rPr>
          <w:rFonts w:ascii="Cambria" w:hAnsi="Cambria" w:cs="Arial"/>
          <w:sz w:val="24"/>
          <w:szCs w:val="24"/>
        </w:rPr>
        <w:t xml:space="preserve">Zartman (Ed): </w:t>
      </w:r>
      <w:r w:rsidR="00B21E50" w:rsidRPr="00E9790A">
        <w:rPr>
          <w:rFonts w:ascii="Cambria" w:hAnsi="Cambria" w:cs="Arial"/>
          <w:i/>
          <w:sz w:val="24"/>
          <w:szCs w:val="24"/>
        </w:rPr>
        <w:t>Collapsed States, Disintegration and Restoration of Legitimate Authority,</w:t>
      </w:r>
      <w:r w:rsidR="00B21E50" w:rsidRPr="00E9790A">
        <w:rPr>
          <w:rFonts w:ascii="Cambria" w:hAnsi="Cambria" w:cs="Arial"/>
          <w:sz w:val="24"/>
          <w:szCs w:val="24"/>
        </w:rPr>
        <w:t xml:space="preserve"> L. Rienner, 1995.</w:t>
      </w:r>
    </w:p>
    <w:p w:rsidR="00B21E50" w:rsidRPr="00E9790A" w:rsidRDefault="00B21E50" w:rsidP="00E9790A">
      <w:pPr>
        <w:pStyle w:val="ListParagraph"/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E51EE1" w:rsidRPr="00E9790A" w:rsidRDefault="00E51EE1" w:rsidP="00E9790A">
      <w:pPr>
        <w:pStyle w:val="ListParagraph"/>
        <w:spacing w:after="0" w:line="280" w:lineRule="atLeast"/>
        <w:rPr>
          <w:rFonts w:ascii="Cambria" w:eastAsia="Times New Roman" w:hAnsi="Cambria" w:cs="Times New Roman"/>
          <w:sz w:val="24"/>
          <w:szCs w:val="24"/>
          <w:lang w:val="en-US" w:eastAsia="en-GB"/>
        </w:rPr>
      </w:pPr>
    </w:p>
    <w:p w:rsidR="00E51EE1" w:rsidRPr="00715CCB" w:rsidRDefault="007059FC" w:rsidP="00E9790A">
      <w:pPr>
        <w:pStyle w:val="ListParagraph"/>
        <w:numPr>
          <w:ilvl w:val="0"/>
          <w:numId w:val="3"/>
        </w:numPr>
        <w:spacing w:after="0" w:line="280" w:lineRule="atLeast"/>
        <w:ind w:left="284" w:hanging="284"/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</w:pPr>
      <w:r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>Approaches to conflict</w:t>
      </w:r>
      <w:r w:rsidR="00E51EE1"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 xml:space="preserve"> </w:t>
      </w:r>
      <w:r w:rsidR="002A426D" w:rsidRPr="00715CCB">
        <w:rPr>
          <w:rFonts w:ascii="Cambria" w:eastAsia="Times New Roman" w:hAnsi="Cambria" w:cs="Times New Roman"/>
          <w:b/>
          <w:i/>
          <w:sz w:val="24"/>
          <w:szCs w:val="24"/>
          <w:lang w:val="en-US" w:eastAsia="en-GB"/>
        </w:rPr>
        <w:t>and conflict sensitive approaches</w:t>
      </w:r>
    </w:p>
    <w:p w:rsidR="002A426D" w:rsidRPr="00E9790A" w:rsidRDefault="002A426D" w:rsidP="00E9790A">
      <w:pPr>
        <w:spacing w:after="0" w:line="280" w:lineRule="atLeast"/>
        <w:ind w:firstLine="720"/>
        <w:rPr>
          <w:rFonts w:ascii="Cambria" w:eastAsia="Times New Roman" w:hAnsi="Cambria" w:cs="Arial"/>
          <w:i/>
          <w:sz w:val="24"/>
          <w:szCs w:val="24"/>
          <w:lang w:eastAsia="en-GB"/>
        </w:rPr>
      </w:pPr>
    </w:p>
    <w:p w:rsidR="002A426D" w:rsidRPr="004C6CF1" w:rsidRDefault="002A426D" w:rsidP="004C6CF1">
      <w:pPr>
        <w:pStyle w:val="ListParagraph"/>
        <w:numPr>
          <w:ilvl w:val="0"/>
          <w:numId w:val="18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4C6CF1">
        <w:rPr>
          <w:rStyle w:val="additionalfields"/>
          <w:rFonts w:ascii="Cambria" w:hAnsi="Cambria" w:cs="Arial"/>
          <w:sz w:val="24"/>
          <w:szCs w:val="24"/>
        </w:rPr>
        <w:t>Mary B. Anderson</w:t>
      </w:r>
      <w:r w:rsidRPr="004C6CF1">
        <w:rPr>
          <w:rFonts w:ascii="Cambria" w:hAnsi="Cambria" w:cs="Arial"/>
          <w:sz w:val="24"/>
          <w:szCs w:val="24"/>
        </w:rPr>
        <w:t xml:space="preserve"> </w:t>
      </w:r>
      <w:hyperlink r:id="rId24" w:history="1">
        <w:r w:rsidRPr="004C6CF1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Do no harm: how aid can support peace - or war</w:t>
        </w:r>
      </w:hyperlink>
      <w:r w:rsidRPr="004C6CF1">
        <w:rPr>
          <w:rFonts w:ascii="Cambria" w:hAnsi="Cambria" w:cs="Arial"/>
          <w:sz w:val="24"/>
          <w:szCs w:val="24"/>
        </w:rPr>
        <w:t xml:space="preserve"> Boulder, Colo.</w:t>
      </w:r>
      <w:r w:rsidR="00100161" w:rsidRPr="004C6CF1">
        <w:rPr>
          <w:rFonts w:ascii="Cambria" w:hAnsi="Cambria" w:cs="Arial"/>
          <w:sz w:val="24"/>
          <w:szCs w:val="24"/>
        </w:rPr>
        <w:t xml:space="preserve">; London : Lynne Rienner, 1999 and </w:t>
      </w:r>
      <w:hyperlink r:id="rId25" w:history="1">
        <w:r w:rsidRPr="004C6CF1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Anderson, Mary B.</w:t>
        </w:r>
      </w:hyperlink>
      <w:r w:rsidRPr="004C6CF1">
        <w:rPr>
          <w:rFonts w:ascii="Cambria" w:hAnsi="Cambria" w:cs="Arial"/>
          <w:sz w:val="24"/>
          <w:szCs w:val="24"/>
        </w:rPr>
        <w:t xml:space="preserve"> </w:t>
      </w:r>
      <w:hyperlink r:id="rId26" w:history="1">
        <w:r w:rsidRPr="004C6CF1">
          <w:rPr>
            <w:rStyle w:val="Hyperlink"/>
            <w:rFonts w:ascii="Cambria" w:hAnsi="Cambria" w:cs="Arial"/>
            <w:color w:val="auto"/>
            <w:sz w:val="24"/>
            <w:szCs w:val="24"/>
            <w:u w:val="none"/>
          </w:rPr>
          <w:t>Framework for analyzing aid's impact on conflict</w:t>
        </w:r>
      </w:hyperlink>
      <w:r w:rsidRPr="004C6CF1">
        <w:rPr>
          <w:rFonts w:ascii="Cambria" w:hAnsi="Cambria" w:cs="Arial"/>
          <w:sz w:val="24"/>
          <w:szCs w:val="24"/>
        </w:rPr>
        <w:t xml:space="preserve"> </w:t>
      </w:r>
      <w:hyperlink r:id="rId27" w:history="1">
        <w:r w:rsidR="00100161" w:rsidRPr="004C6CF1">
          <w:rPr>
            <w:rStyle w:val="Hyperlink"/>
            <w:rFonts w:ascii="Cambria" w:hAnsi="Cambria" w:cs="Arial"/>
            <w:sz w:val="24"/>
            <w:szCs w:val="24"/>
          </w:rPr>
          <w:t>http://cdacollaborative.org/publication/the-do-no-harm-framework-for-analyzing-the-impact-of-assistance-on-conflict-a-handbook/</w:t>
        </w:r>
      </w:hyperlink>
      <w:r w:rsidR="00100161" w:rsidRPr="004C6CF1">
        <w:rPr>
          <w:rFonts w:ascii="Cambria" w:hAnsi="Cambria" w:cs="Arial"/>
          <w:sz w:val="24"/>
          <w:szCs w:val="24"/>
        </w:rPr>
        <w:t xml:space="preserve">  </w:t>
      </w:r>
      <w:r w:rsidRPr="004C6CF1">
        <w:rPr>
          <w:rFonts w:ascii="Cambria" w:hAnsi="Cambria" w:cs="Arial"/>
          <w:sz w:val="24"/>
          <w:szCs w:val="24"/>
        </w:rPr>
        <w:t xml:space="preserve">  </w:t>
      </w:r>
      <w:r w:rsidR="00100161" w:rsidRPr="004C6CF1">
        <w:rPr>
          <w:rFonts w:ascii="Cambria" w:hAnsi="Cambria" w:cs="Arial"/>
          <w:sz w:val="24"/>
          <w:szCs w:val="24"/>
        </w:rPr>
        <w:t xml:space="preserve"> </w:t>
      </w:r>
      <w:r w:rsidRPr="004C6CF1">
        <w:rPr>
          <w:rFonts w:ascii="Cambria" w:hAnsi="Cambria" w:cs="Arial"/>
          <w:sz w:val="24"/>
          <w:szCs w:val="24"/>
        </w:rPr>
        <w:t xml:space="preserve"> </w:t>
      </w:r>
    </w:p>
    <w:p w:rsidR="00100161" w:rsidRPr="004C6CF1" w:rsidRDefault="00100161" w:rsidP="004C6CF1">
      <w:pPr>
        <w:pStyle w:val="ListParagraph"/>
        <w:numPr>
          <w:ilvl w:val="0"/>
          <w:numId w:val="18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4C6CF1">
        <w:rPr>
          <w:rFonts w:ascii="Cambria" w:hAnsi="Cambria" w:cs="Arial"/>
          <w:sz w:val="24"/>
          <w:szCs w:val="24"/>
        </w:rPr>
        <w:t xml:space="preserve">Conflict Sensitivity </w:t>
      </w:r>
      <w:r w:rsidRPr="004C6CF1">
        <w:rPr>
          <w:rFonts w:ascii="Cambria" w:hAnsi="Cambria" w:cs="Arial"/>
          <w:sz w:val="24"/>
          <w:szCs w:val="24"/>
        </w:rPr>
        <w:t xml:space="preserve">Consortium </w:t>
      </w:r>
      <w:hyperlink r:id="rId28" w:history="1">
        <w:r w:rsidRPr="004C6CF1">
          <w:rPr>
            <w:rStyle w:val="Hyperlink"/>
            <w:rFonts w:ascii="Cambria" w:hAnsi="Cambria" w:cs="Arial"/>
            <w:sz w:val="24"/>
            <w:szCs w:val="24"/>
          </w:rPr>
          <w:t>http://www.conflictsensitivity.org/other_publication/conflict-analysis/</w:t>
        </w:r>
      </w:hyperlink>
      <w:r w:rsidRPr="004C6CF1">
        <w:rPr>
          <w:rFonts w:ascii="Cambria" w:hAnsi="Cambria" w:cs="Arial"/>
          <w:sz w:val="24"/>
          <w:szCs w:val="24"/>
        </w:rPr>
        <w:t xml:space="preserve">  and http://local.conflictsensitivity.org/online-resources/</w:t>
      </w:r>
    </w:p>
    <w:p w:rsidR="00100161" w:rsidRPr="004C6CF1" w:rsidRDefault="00B21E50" w:rsidP="004C6CF1">
      <w:pPr>
        <w:pStyle w:val="ListParagraph"/>
        <w:numPr>
          <w:ilvl w:val="0"/>
          <w:numId w:val="18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4C6CF1">
        <w:rPr>
          <w:rFonts w:ascii="Cambria" w:hAnsi="Cambria" w:cs="Arial"/>
          <w:sz w:val="24"/>
          <w:szCs w:val="24"/>
        </w:rPr>
        <w:t>GSDRC Resources: http://www.gsdrc.org/document-library/applying-conflict-sensitivity-at-project-and-programme-level/</w:t>
      </w:r>
    </w:p>
    <w:p w:rsidR="002A426D" w:rsidRPr="00E9790A" w:rsidRDefault="002A426D" w:rsidP="00E9790A">
      <w:pPr>
        <w:spacing w:after="0" w:line="280" w:lineRule="atLeast"/>
        <w:ind w:firstLine="720"/>
        <w:rPr>
          <w:rFonts w:ascii="Cambria" w:eastAsia="Times New Roman" w:hAnsi="Cambria" w:cs="Arial"/>
          <w:i/>
          <w:sz w:val="24"/>
          <w:szCs w:val="24"/>
          <w:lang w:eastAsia="en-GB"/>
        </w:rPr>
      </w:pPr>
    </w:p>
    <w:p w:rsidR="007059FC" w:rsidRPr="007059FC" w:rsidRDefault="007059FC" w:rsidP="004C6CF1">
      <w:p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 w:rsidRPr="007059FC">
        <w:rPr>
          <w:rFonts w:ascii="Cambria" w:eastAsia="Times New Roman" w:hAnsi="Cambria" w:cs="Arial"/>
          <w:i/>
          <w:sz w:val="24"/>
          <w:szCs w:val="24"/>
          <w:lang w:eastAsia="en-GB"/>
        </w:rPr>
        <w:t>Harvard Approach</w:t>
      </w:r>
      <w:r w:rsidRPr="007059FC">
        <w:rPr>
          <w:rFonts w:ascii="Cambria" w:eastAsia="Times New Roman" w:hAnsi="Cambria" w:cs="Arial"/>
          <w:sz w:val="24"/>
          <w:szCs w:val="24"/>
          <w:lang w:eastAsia="en-GB"/>
        </w:rPr>
        <w:t xml:space="preserve">: </w:t>
      </w:r>
    </w:p>
    <w:p w:rsidR="007059FC" w:rsidRPr="004C6CF1" w:rsidRDefault="004C6CF1" w:rsidP="004C6CF1">
      <w:pPr>
        <w:pStyle w:val="ListParagraph"/>
        <w:numPr>
          <w:ilvl w:val="0"/>
          <w:numId w:val="19"/>
        </w:num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t xml:space="preserve">R. </w:t>
      </w:r>
      <w:r w:rsidR="007059FC" w:rsidRPr="004C6CF1">
        <w:rPr>
          <w:rFonts w:ascii="Cambria" w:eastAsia="Times New Roman" w:hAnsi="Cambria" w:cs="Arial"/>
          <w:sz w:val="24"/>
          <w:szCs w:val="24"/>
          <w:lang w:eastAsia="en-GB"/>
        </w:rPr>
        <w:t>Fisher, Ury, W. and Patton, B. (1991). Getting to Yes: Negotiating Agreement Without Giving In. Penguin, New York.</w:t>
      </w:r>
    </w:p>
    <w:p w:rsidR="007059FC" w:rsidRPr="004C6CF1" w:rsidRDefault="004C6CF1" w:rsidP="004C6CF1">
      <w:pPr>
        <w:pStyle w:val="ListParagraph"/>
        <w:numPr>
          <w:ilvl w:val="0"/>
          <w:numId w:val="19"/>
        </w:num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t xml:space="preserve">W. </w:t>
      </w:r>
      <w:r w:rsidR="007059FC" w:rsidRPr="004C6CF1">
        <w:rPr>
          <w:rFonts w:ascii="Cambria" w:eastAsia="Times New Roman" w:hAnsi="Cambria" w:cs="Arial"/>
          <w:sz w:val="24"/>
          <w:szCs w:val="24"/>
          <w:lang w:eastAsia="en-GB"/>
        </w:rPr>
        <w:t>Ury, Brett, J., and Goldberg, S. (1993). Getting Disputes Resolved. Jossey-Bas Publishers, San Francisco</w:t>
      </w:r>
    </w:p>
    <w:p w:rsidR="007059FC" w:rsidRPr="007059FC" w:rsidRDefault="007059FC" w:rsidP="004C6CF1">
      <w:p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</w:p>
    <w:p w:rsidR="007059FC" w:rsidRPr="007059FC" w:rsidRDefault="007059FC" w:rsidP="004C6CF1">
      <w:p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 w:rsidRPr="007059FC">
        <w:rPr>
          <w:rFonts w:ascii="Cambria" w:eastAsia="Times New Roman" w:hAnsi="Cambria" w:cs="Arial"/>
          <w:i/>
          <w:sz w:val="24"/>
          <w:szCs w:val="24"/>
          <w:lang w:eastAsia="en-GB"/>
        </w:rPr>
        <w:t>Human Needs Approach</w:t>
      </w:r>
      <w:r w:rsidRPr="007059FC">
        <w:rPr>
          <w:rFonts w:ascii="Cambria" w:eastAsia="Times New Roman" w:hAnsi="Cambria" w:cs="Arial"/>
          <w:sz w:val="24"/>
          <w:szCs w:val="24"/>
          <w:lang w:eastAsia="en-GB"/>
        </w:rPr>
        <w:t>:</w:t>
      </w:r>
    </w:p>
    <w:p w:rsidR="007059FC" w:rsidRPr="004C6CF1" w:rsidRDefault="004C6CF1" w:rsidP="004C6CF1">
      <w:pPr>
        <w:pStyle w:val="ListParagraph"/>
        <w:numPr>
          <w:ilvl w:val="0"/>
          <w:numId w:val="20"/>
        </w:num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lastRenderedPageBreak/>
        <w:t xml:space="preserve">J. </w:t>
      </w:r>
      <w:r w:rsidR="007059FC" w:rsidRPr="004C6CF1">
        <w:rPr>
          <w:rFonts w:ascii="Cambria" w:eastAsia="Times New Roman" w:hAnsi="Cambria" w:cs="Arial"/>
          <w:sz w:val="24"/>
          <w:szCs w:val="24"/>
          <w:lang w:eastAsia="en-GB"/>
        </w:rPr>
        <w:t xml:space="preserve">Burton (ed.) (1990). Conflict: Human Needs Theory, St. Martin‘s Press, New York. </w:t>
      </w:r>
    </w:p>
    <w:p w:rsidR="007059FC" w:rsidRPr="004C6CF1" w:rsidRDefault="004C6CF1" w:rsidP="004C6CF1">
      <w:pPr>
        <w:pStyle w:val="ListParagraph"/>
        <w:numPr>
          <w:ilvl w:val="0"/>
          <w:numId w:val="20"/>
        </w:num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t xml:space="preserve">M. </w:t>
      </w:r>
      <w:r w:rsidR="007059FC" w:rsidRPr="004C6CF1">
        <w:rPr>
          <w:rFonts w:ascii="Cambria" w:eastAsia="Times New Roman" w:hAnsi="Cambria" w:cs="Arial"/>
          <w:sz w:val="24"/>
          <w:szCs w:val="24"/>
          <w:lang w:eastAsia="en-GB"/>
        </w:rPr>
        <w:t xml:space="preserve">Max-Neef (1991). Development and Human Needs, in Max-Neef M. (1991) Human Scale Development: Conception, Application and Further Reflection, Apex Press, New York, 13-54. </w:t>
      </w:r>
    </w:p>
    <w:p w:rsidR="007059FC" w:rsidRPr="00E9790A" w:rsidRDefault="007059FC" w:rsidP="004C6CF1">
      <w:p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</w:p>
    <w:p w:rsidR="007059FC" w:rsidRPr="007059FC" w:rsidRDefault="007059FC" w:rsidP="004C6CF1">
      <w:pPr>
        <w:spacing w:after="0" w:line="280" w:lineRule="atLeast"/>
        <w:rPr>
          <w:rFonts w:ascii="Cambria" w:eastAsia="Times New Roman" w:hAnsi="Cambria" w:cs="Arial"/>
          <w:sz w:val="24"/>
          <w:szCs w:val="24"/>
          <w:lang w:eastAsia="en-GB"/>
        </w:rPr>
      </w:pPr>
      <w:r w:rsidRPr="007059FC">
        <w:rPr>
          <w:rFonts w:ascii="Cambria" w:eastAsia="Times New Roman" w:hAnsi="Cambria" w:cs="Arial"/>
          <w:i/>
          <w:sz w:val="24"/>
          <w:szCs w:val="24"/>
          <w:lang w:eastAsia="en-GB"/>
        </w:rPr>
        <w:t>Conflict Transformation Approach</w:t>
      </w:r>
      <w:r w:rsidRPr="007059FC">
        <w:rPr>
          <w:rFonts w:ascii="Cambria" w:eastAsia="Times New Roman" w:hAnsi="Cambria" w:cs="Arial"/>
          <w:sz w:val="24"/>
          <w:szCs w:val="24"/>
          <w:lang w:eastAsia="en-GB"/>
        </w:rPr>
        <w:t>:</w:t>
      </w:r>
    </w:p>
    <w:p w:rsidR="007059FC" w:rsidRPr="007059FC" w:rsidRDefault="004C6CF1" w:rsidP="00E9790A">
      <w:pPr>
        <w:spacing w:after="0" w:line="280" w:lineRule="atLeast"/>
        <w:ind w:left="720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t xml:space="preserve">J. P. </w:t>
      </w:r>
      <w:r w:rsidR="007059FC" w:rsidRPr="007059FC">
        <w:rPr>
          <w:rFonts w:ascii="Cambria" w:eastAsia="Times New Roman" w:hAnsi="Cambria" w:cs="Arial"/>
          <w:sz w:val="24"/>
          <w:szCs w:val="24"/>
          <w:lang w:eastAsia="en-GB"/>
        </w:rPr>
        <w:t xml:space="preserve">Lederach (2005). The Moral Imagination, the art and soul of building peace, Oxford University Press. </w:t>
      </w:r>
    </w:p>
    <w:p w:rsidR="007059FC" w:rsidRPr="00E9790A" w:rsidRDefault="004C6CF1" w:rsidP="00E9790A">
      <w:pPr>
        <w:spacing w:after="0" w:line="280" w:lineRule="atLeast"/>
        <w:ind w:left="720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t xml:space="preserve">J.P. </w:t>
      </w:r>
      <w:r w:rsidR="007059FC" w:rsidRPr="00E9790A">
        <w:rPr>
          <w:rFonts w:ascii="Cambria" w:eastAsia="Times New Roman" w:hAnsi="Cambria" w:cs="Arial"/>
          <w:sz w:val="24"/>
          <w:szCs w:val="24"/>
          <w:lang w:eastAsia="en-GB"/>
        </w:rPr>
        <w:t xml:space="preserve">Lederach (2003) Conflict Transformation </w:t>
      </w:r>
      <w:hyperlink r:id="rId29" w:history="1">
        <w:r w:rsidR="007059FC" w:rsidRPr="00E9790A">
          <w:rPr>
            <w:rStyle w:val="Hyperlink"/>
            <w:rFonts w:ascii="Cambria" w:eastAsia="Times New Roman" w:hAnsi="Cambria" w:cs="Arial"/>
            <w:sz w:val="24"/>
            <w:szCs w:val="24"/>
            <w:lang w:eastAsia="en-GB"/>
          </w:rPr>
          <w:t>http://www.beyondintractability.org/essay/transformation/</w:t>
        </w:r>
      </w:hyperlink>
      <w:r w:rsidR="007059FC" w:rsidRPr="00E9790A">
        <w:rPr>
          <w:rFonts w:ascii="Cambria" w:eastAsia="Times New Roman" w:hAnsi="Cambria" w:cs="Arial"/>
          <w:sz w:val="24"/>
          <w:szCs w:val="24"/>
          <w:lang w:eastAsia="en-GB"/>
        </w:rPr>
        <w:t xml:space="preserve"> </w:t>
      </w:r>
    </w:p>
    <w:p w:rsidR="007059FC" w:rsidRPr="00E9790A" w:rsidRDefault="004C6CF1" w:rsidP="00E9790A">
      <w:pPr>
        <w:spacing w:after="0" w:line="280" w:lineRule="atLeast"/>
        <w:ind w:left="720"/>
        <w:rPr>
          <w:rFonts w:ascii="Cambria" w:eastAsia="Times New Roman" w:hAnsi="Cambria" w:cs="Arial"/>
          <w:sz w:val="24"/>
          <w:szCs w:val="24"/>
          <w:lang w:eastAsia="en-GB"/>
        </w:rPr>
      </w:pPr>
      <w:r>
        <w:rPr>
          <w:rFonts w:ascii="Cambria" w:eastAsia="Times New Roman" w:hAnsi="Cambria" w:cs="Arial"/>
          <w:sz w:val="24"/>
          <w:szCs w:val="24"/>
          <w:lang w:eastAsia="en-GB"/>
        </w:rPr>
        <w:t xml:space="preserve">B. </w:t>
      </w:r>
      <w:r w:rsidR="007059FC" w:rsidRPr="007059FC">
        <w:rPr>
          <w:rFonts w:ascii="Cambria" w:eastAsia="Times New Roman" w:hAnsi="Cambria" w:cs="Arial"/>
          <w:sz w:val="24"/>
          <w:szCs w:val="24"/>
          <w:lang w:eastAsia="en-GB"/>
        </w:rPr>
        <w:t>Bush and Folger, J. (1994). The Promise of Mediation: Responding to Conflict Through Empowerment and Recognition, The Jossey-Bass Conflict Resolution Series. Jossey-Bass, San Francisco</w:t>
      </w:r>
    </w:p>
    <w:p w:rsidR="007059FC" w:rsidRPr="00E9790A" w:rsidRDefault="007059FC" w:rsidP="00E9790A">
      <w:pPr>
        <w:spacing w:after="0" w:line="280" w:lineRule="atLeast"/>
        <w:ind w:left="720"/>
        <w:rPr>
          <w:rFonts w:ascii="Cambria" w:eastAsia="Times New Roman" w:hAnsi="Cambria" w:cs="Arial"/>
          <w:sz w:val="24"/>
          <w:szCs w:val="24"/>
          <w:lang w:eastAsia="en-GB"/>
        </w:rPr>
      </w:pPr>
    </w:p>
    <w:p w:rsidR="007059FC" w:rsidRPr="00715CCB" w:rsidRDefault="007059FC" w:rsidP="00E9790A">
      <w:pPr>
        <w:pStyle w:val="ListParagraph"/>
        <w:numPr>
          <w:ilvl w:val="0"/>
          <w:numId w:val="3"/>
        </w:numPr>
        <w:spacing w:after="0" w:line="280" w:lineRule="atLeast"/>
        <w:ind w:left="284" w:hanging="284"/>
        <w:rPr>
          <w:rFonts w:ascii="Cambria" w:eastAsia="Times New Roman" w:hAnsi="Cambria" w:cs="Arial"/>
          <w:b/>
          <w:i/>
          <w:sz w:val="24"/>
          <w:szCs w:val="24"/>
          <w:lang w:eastAsia="en-GB"/>
        </w:rPr>
      </w:pPr>
      <w:r w:rsidRPr="00715CCB">
        <w:rPr>
          <w:rFonts w:ascii="Cambria" w:eastAsia="Times New Roman" w:hAnsi="Cambria" w:cs="Arial"/>
          <w:b/>
          <w:i/>
          <w:sz w:val="24"/>
          <w:szCs w:val="24"/>
          <w:lang w:eastAsia="en-GB"/>
        </w:rPr>
        <w:t>Conflict Analysis Tools</w:t>
      </w:r>
    </w:p>
    <w:p w:rsidR="002A426D" w:rsidRPr="00E9790A" w:rsidRDefault="002A426D" w:rsidP="004C6CF1">
      <w:pPr>
        <w:pStyle w:val="ListParagraph"/>
        <w:spacing w:after="0" w:line="280" w:lineRule="atLeast"/>
        <w:ind w:left="0"/>
        <w:rPr>
          <w:rFonts w:ascii="Cambria" w:eastAsia="Times New Roman" w:hAnsi="Cambria" w:cs="Arial"/>
          <w:sz w:val="24"/>
          <w:szCs w:val="24"/>
          <w:lang w:eastAsia="en-GB"/>
        </w:rPr>
      </w:pPr>
      <w:r w:rsidRPr="00E9790A">
        <w:rPr>
          <w:rFonts w:ascii="Cambria" w:eastAsia="Times New Roman" w:hAnsi="Cambria" w:cs="Arial"/>
          <w:sz w:val="24"/>
          <w:szCs w:val="24"/>
          <w:lang w:eastAsia="en-GB"/>
        </w:rPr>
        <w:t>The Conflict Wheel, Conflict tree, Conflict Mapping, Escalation Model, Conflict Perspective Analysis, Needs-Fear Mapping, Multi-causal mapping</w:t>
      </w:r>
    </w:p>
    <w:p w:rsidR="007059FC" w:rsidRPr="00E9790A" w:rsidRDefault="002A426D" w:rsidP="00E9790A">
      <w:pPr>
        <w:pStyle w:val="ListParagraph"/>
        <w:spacing w:after="0" w:line="280" w:lineRule="atLeast"/>
        <w:rPr>
          <w:rFonts w:ascii="Cambria" w:hAnsi="Cambria"/>
          <w:sz w:val="24"/>
          <w:szCs w:val="24"/>
        </w:rPr>
      </w:pPr>
      <w:r w:rsidRPr="00E9790A">
        <w:rPr>
          <w:rFonts w:ascii="Cambria" w:hAnsi="Cambria"/>
          <w:sz w:val="24"/>
          <w:szCs w:val="24"/>
        </w:rPr>
        <w:t xml:space="preserve"> </w:t>
      </w:r>
    </w:p>
    <w:p w:rsidR="002A426D" w:rsidRPr="00E9790A" w:rsidRDefault="002A426D" w:rsidP="004C6CF1">
      <w:pPr>
        <w:pStyle w:val="ListParagraph"/>
        <w:numPr>
          <w:ilvl w:val="0"/>
          <w:numId w:val="21"/>
        </w:numPr>
        <w:spacing w:after="0" w:line="280" w:lineRule="atLeast"/>
        <w:ind w:left="284" w:hanging="284"/>
        <w:rPr>
          <w:rFonts w:ascii="Cambria" w:hAnsi="Cambria"/>
          <w:sz w:val="24"/>
          <w:szCs w:val="24"/>
        </w:rPr>
      </w:pPr>
      <w:r w:rsidRPr="00E9790A">
        <w:rPr>
          <w:rFonts w:ascii="Cambria" w:hAnsi="Cambria"/>
          <w:sz w:val="24"/>
          <w:szCs w:val="24"/>
        </w:rPr>
        <w:t xml:space="preserve">SDC Conflict Analysis Tools </w:t>
      </w:r>
      <w:hyperlink r:id="rId30" w:history="1">
        <w:r w:rsidRPr="00E9790A">
          <w:rPr>
            <w:rStyle w:val="Hyperlink"/>
            <w:rFonts w:ascii="Cambria" w:hAnsi="Cambria"/>
            <w:sz w:val="24"/>
            <w:szCs w:val="24"/>
          </w:rPr>
          <w:t>http://www.css.ethz.ch/content/dam/ethz/special-interest/gess/cis/center-for-securities-studies/pdfs/Conflict-Analysis-Tools.pdf</w:t>
        </w:r>
      </w:hyperlink>
      <w:r w:rsidRPr="00E9790A">
        <w:rPr>
          <w:rFonts w:ascii="Cambria" w:hAnsi="Cambria"/>
          <w:sz w:val="24"/>
          <w:szCs w:val="24"/>
        </w:rPr>
        <w:t xml:space="preserve"> </w:t>
      </w:r>
    </w:p>
    <w:p w:rsidR="002A426D" w:rsidRPr="004C6CF1" w:rsidRDefault="002A426D" w:rsidP="004C6C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284" w:hanging="284"/>
        <w:rPr>
          <w:rFonts w:ascii="Cambria" w:hAnsi="Cambria" w:cs="Arial"/>
          <w:bCs/>
          <w:iCs/>
          <w:sz w:val="24"/>
          <w:szCs w:val="24"/>
        </w:rPr>
      </w:pPr>
      <w:r w:rsidRPr="004C6CF1">
        <w:rPr>
          <w:rFonts w:ascii="Cambria" w:hAnsi="Cambria" w:cs="Arial"/>
          <w:bCs/>
          <w:i/>
          <w:iCs/>
          <w:sz w:val="24"/>
          <w:szCs w:val="24"/>
        </w:rPr>
        <w:t>Lawrence Woocher</w:t>
      </w:r>
      <w:r w:rsidRPr="004C6CF1">
        <w:rPr>
          <w:rFonts w:ascii="Cambria" w:hAnsi="Cambria" w:cs="Arial"/>
          <w:bCs/>
          <w:sz w:val="24"/>
          <w:szCs w:val="24"/>
        </w:rPr>
        <w:t xml:space="preserve"> Conflict Assessment and Intelligence Analysis: Commonality, Convergence, and Complementarity</w:t>
      </w:r>
      <w:r w:rsidRPr="004C6CF1">
        <w:rPr>
          <w:rFonts w:ascii="Cambria" w:hAnsi="Cambria" w:cs="Arial"/>
          <w:bCs/>
          <w:iCs/>
          <w:sz w:val="24"/>
          <w:szCs w:val="24"/>
        </w:rPr>
        <w:t xml:space="preserve"> </w:t>
      </w:r>
    </w:p>
    <w:p w:rsidR="002A426D" w:rsidRPr="004C6CF1" w:rsidRDefault="002A426D" w:rsidP="004C6CF1">
      <w:pPr>
        <w:pStyle w:val="ListParagraph"/>
        <w:numPr>
          <w:ilvl w:val="0"/>
          <w:numId w:val="2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4C6CF1">
        <w:rPr>
          <w:rFonts w:ascii="Cambria" w:hAnsi="Cambria" w:cs="Arial"/>
          <w:i/>
          <w:sz w:val="24"/>
          <w:szCs w:val="24"/>
        </w:rPr>
        <w:t>Clingendael Model:</w:t>
      </w:r>
      <w:r w:rsidRPr="004C6CF1">
        <w:rPr>
          <w:rFonts w:ascii="Cambria" w:hAnsi="Cambria" w:cs="Arial"/>
          <w:sz w:val="24"/>
          <w:szCs w:val="24"/>
        </w:rPr>
        <w:t xml:space="preserve"> ‘Stability Assessment Framework’ (The Hague: Netherlands Institute of International Relations, 2005). </w:t>
      </w:r>
    </w:p>
    <w:p w:rsidR="002A426D" w:rsidRPr="004C6CF1" w:rsidRDefault="002A426D" w:rsidP="004C6CF1">
      <w:pPr>
        <w:pStyle w:val="ListParagraph"/>
        <w:numPr>
          <w:ilvl w:val="0"/>
          <w:numId w:val="2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4C6CF1">
        <w:rPr>
          <w:rFonts w:ascii="Cambria" w:hAnsi="Cambria" w:cs="Arial"/>
          <w:i/>
          <w:sz w:val="24"/>
          <w:szCs w:val="24"/>
        </w:rPr>
        <w:t>SIDA Model:</w:t>
      </w:r>
      <w:r w:rsidRPr="004C6CF1">
        <w:rPr>
          <w:rFonts w:ascii="Cambria" w:hAnsi="Cambria" w:cs="Arial"/>
          <w:sz w:val="24"/>
          <w:szCs w:val="24"/>
        </w:rPr>
        <w:t xml:space="preserve"> ‘Manual for Conflict Analysis’, Stockholm: Swedish International Development Cooperation Agency, 2006.</w:t>
      </w:r>
    </w:p>
    <w:p w:rsidR="002A426D" w:rsidRPr="004C6CF1" w:rsidRDefault="002A426D" w:rsidP="004C6CF1">
      <w:pPr>
        <w:pStyle w:val="ListParagraph"/>
        <w:numPr>
          <w:ilvl w:val="0"/>
          <w:numId w:val="2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4C6CF1">
        <w:rPr>
          <w:rFonts w:ascii="Cambria" w:hAnsi="Cambria" w:cs="Arial"/>
          <w:i/>
          <w:sz w:val="24"/>
          <w:szCs w:val="24"/>
        </w:rPr>
        <w:t>DFID Model:</w:t>
      </w:r>
      <w:r w:rsidRPr="004C6CF1">
        <w:rPr>
          <w:rFonts w:ascii="Cambria" w:hAnsi="Cambria" w:cs="Arial"/>
          <w:sz w:val="24"/>
          <w:szCs w:val="24"/>
        </w:rPr>
        <w:t xml:space="preserve"> ‘Conducting Conflict Assessments: Guidance Notes’, London: Department for International Development, 2002. </w:t>
      </w:r>
      <w:r w:rsidR="00715CCB">
        <w:rPr>
          <w:rFonts w:ascii="Cambria" w:hAnsi="Cambria" w:cs="Arial"/>
          <w:sz w:val="24"/>
          <w:szCs w:val="24"/>
        </w:rPr>
        <w:t xml:space="preserve"> </w:t>
      </w:r>
    </w:p>
    <w:p w:rsidR="002A426D" w:rsidRPr="004C6CF1" w:rsidRDefault="002A426D" w:rsidP="004C6CF1">
      <w:pPr>
        <w:pStyle w:val="ListParagraph"/>
        <w:numPr>
          <w:ilvl w:val="0"/>
          <w:numId w:val="21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4C6CF1">
        <w:rPr>
          <w:rFonts w:ascii="Cambria" w:hAnsi="Cambria" w:cs="Arial"/>
          <w:i/>
          <w:sz w:val="24"/>
          <w:szCs w:val="24"/>
        </w:rPr>
        <w:t>NGO guidance:</w:t>
      </w:r>
      <w:r w:rsidRPr="004C6CF1">
        <w:rPr>
          <w:rFonts w:ascii="Cambria" w:hAnsi="Cambria" w:cs="Arial"/>
          <w:sz w:val="24"/>
          <w:szCs w:val="24"/>
        </w:rPr>
        <w:t xml:space="preserve"> ‘Chapter 2: Conflict Analysis,” in Conflict-Sensitive Approaches to Development, Humanitarian Assistance and Peacebuilding: A Resource Pack’, London: APFO, CECORE, CHA, FEWER, International Alert, and Saferworld, 2004. </w:t>
      </w:r>
      <w:r w:rsidR="00715CCB">
        <w:rPr>
          <w:rFonts w:ascii="Cambria" w:hAnsi="Cambria" w:cs="Arial"/>
          <w:sz w:val="24"/>
          <w:szCs w:val="24"/>
        </w:rPr>
        <w:t xml:space="preserve"> </w:t>
      </w:r>
    </w:p>
    <w:p w:rsidR="002A426D" w:rsidRPr="00E9790A" w:rsidRDefault="002A426D" w:rsidP="00E9790A">
      <w:pPr>
        <w:spacing w:after="0" w:line="280" w:lineRule="atLeast"/>
        <w:ind w:left="720"/>
        <w:jc w:val="both"/>
        <w:rPr>
          <w:rFonts w:ascii="Cambria" w:hAnsi="Cambria" w:cs="Arial"/>
          <w:sz w:val="24"/>
          <w:szCs w:val="24"/>
        </w:rPr>
      </w:pPr>
    </w:p>
    <w:p w:rsidR="002A426D" w:rsidRDefault="002A426D" w:rsidP="00715CCB">
      <w:pPr>
        <w:spacing w:after="0" w:line="280" w:lineRule="atLeast"/>
        <w:ind w:left="720" w:hanging="720"/>
        <w:jc w:val="both"/>
        <w:rPr>
          <w:rFonts w:ascii="Cambria" w:hAnsi="Cambria" w:cs="Arial"/>
          <w:b/>
          <w:i/>
          <w:sz w:val="24"/>
          <w:szCs w:val="24"/>
        </w:rPr>
      </w:pPr>
      <w:r w:rsidRPr="00715CCB">
        <w:rPr>
          <w:rFonts w:ascii="Cambria" w:hAnsi="Cambria" w:cs="Arial"/>
          <w:b/>
          <w:i/>
          <w:sz w:val="24"/>
          <w:szCs w:val="24"/>
        </w:rPr>
        <w:t>5</w:t>
      </w:r>
      <w:r w:rsidR="00B21E50" w:rsidRPr="00715CCB">
        <w:rPr>
          <w:rFonts w:ascii="Cambria" w:hAnsi="Cambria" w:cs="Arial"/>
          <w:b/>
          <w:i/>
          <w:sz w:val="24"/>
          <w:szCs w:val="24"/>
        </w:rPr>
        <w:t xml:space="preserve"> Gender</w:t>
      </w:r>
      <w:r w:rsidR="00715CCB" w:rsidRPr="00715CCB">
        <w:rPr>
          <w:rFonts w:ascii="Cambria" w:hAnsi="Cambria" w:cs="Arial"/>
          <w:b/>
          <w:i/>
          <w:sz w:val="24"/>
          <w:szCs w:val="24"/>
        </w:rPr>
        <w:t>ed</w:t>
      </w:r>
      <w:r w:rsidR="00B21E50" w:rsidRPr="00715CCB">
        <w:rPr>
          <w:rFonts w:ascii="Cambria" w:hAnsi="Cambria" w:cs="Arial"/>
          <w:b/>
          <w:i/>
          <w:sz w:val="24"/>
          <w:szCs w:val="24"/>
        </w:rPr>
        <w:t xml:space="preserve"> Impacts of Conflict and Violence</w:t>
      </w:r>
    </w:p>
    <w:p w:rsidR="006F714B" w:rsidRDefault="006F714B" w:rsidP="00715CCB">
      <w:pPr>
        <w:spacing w:after="0" w:line="280" w:lineRule="atLeast"/>
        <w:ind w:left="720" w:hanging="720"/>
        <w:jc w:val="both"/>
        <w:rPr>
          <w:rFonts w:ascii="Cambria" w:hAnsi="Cambria" w:cs="Arial"/>
          <w:b/>
          <w:i/>
          <w:sz w:val="24"/>
          <w:szCs w:val="24"/>
        </w:rPr>
      </w:pPr>
    </w:p>
    <w:p w:rsidR="00B83084" w:rsidRDefault="00B83084" w:rsidP="00B83084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How are men and boys, women and girls differentially impacted by conflict and violence, and how can interventions that mitigate risks be designed?</w:t>
      </w:r>
    </w:p>
    <w:p w:rsidR="00B83084" w:rsidRPr="00B83084" w:rsidRDefault="00B83084" w:rsidP="00B83084">
      <w:pPr>
        <w:spacing w:after="0" w:line="280" w:lineRule="atLeast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:rsidR="00B21E50" w:rsidRDefault="00B21E50" w:rsidP="00B83084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hyperlink r:id="rId31" w:history="1">
        <w:r w:rsidRPr="00B83084">
          <w:rPr>
            <w:rStyle w:val="Hyperlink"/>
            <w:rFonts w:ascii="Cambria" w:hAnsi="Cambria" w:cs="Arial"/>
            <w:sz w:val="24"/>
            <w:szCs w:val="24"/>
          </w:rPr>
          <w:t>http://www.gsdrc.org/topic-guides/gender</w:t>
        </w:r>
      </w:hyperlink>
    </w:p>
    <w:p w:rsidR="00B83084" w:rsidRDefault="00B83084" w:rsidP="00B83084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N. </w:t>
      </w:r>
      <w:r w:rsidRPr="00B83084">
        <w:rPr>
          <w:rFonts w:ascii="Cambria" w:hAnsi="Cambria" w:cs="Arial"/>
          <w:sz w:val="24"/>
          <w:szCs w:val="24"/>
        </w:rPr>
        <w:t>Gasman</w:t>
      </w:r>
      <w:r>
        <w:rPr>
          <w:rFonts w:ascii="Cambria" w:hAnsi="Cambria" w:cs="Arial"/>
          <w:sz w:val="24"/>
          <w:szCs w:val="24"/>
        </w:rPr>
        <w:t xml:space="preserve"> a</w:t>
      </w:r>
      <w:r w:rsidRPr="00B83084">
        <w:rPr>
          <w:rFonts w:ascii="Cambria" w:hAnsi="Cambria" w:cs="Arial"/>
          <w:sz w:val="24"/>
          <w:szCs w:val="24"/>
        </w:rPr>
        <w:t xml:space="preserve">nd G. Alvarez ‘Violence against Women’, Americas Quarterly http://www.americasquarterly.org/node/1930  </w:t>
      </w:r>
    </w:p>
    <w:p w:rsidR="006F714B" w:rsidRDefault="006F714B" w:rsidP="006F714B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F714B">
        <w:rPr>
          <w:rFonts w:ascii="Cambria" w:hAnsi="Cambria" w:cs="Arial"/>
          <w:sz w:val="24"/>
          <w:szCs w:val="24"/>
        </w:rPr>
        <w:t xml:space="preserve">Unicef (2014) ‘Hidden in Plain Sight’, report summary, https://www.unicef.org/publications/files/Hidden_in_plain_sight_statistical_analysis _Summary_EN_2_Sept_2014.pdf  </w:t>
      </w:r>
    </w:p>
    <w:p w:rsidR="006F714B" w:rsidRDefault="006F714B" w:rsidP="006F714B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F714B">
        <w:rPr>
          <w:rFonts w:ascii="Cambria" w:hAnsi="Cambria" w:cs="Arial"/>
          <w:sz w:val="24"/>
          <w:szCs w:val="24"/>
        </w:rPr>
        <w:t>Unicef (2014) ‘A Statistical Snapshot of Violence against Adolescent Girls’, https://data.unicef.org/resources/statistical-snapshot-violence-adolescent-girls/</w:t>
      </w:r>
    </w:p>
    <w:p w:rsidR="00B83084" w:rsidRDefault="006F714B" w:rsidP="00B83084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M. </w:t>
      </w:r>
      <w:r w:rsidR="00B83084" w:rsidRPr="00B83084">
        <w:rPr>
          <w:rFonts w:ascii="Cambria" w:hAnsi="Cambria" w:cs="Arial"/>
          <w:sz w:val="24"/>
          <w:szCs w:val="24"/>
        </w:rPr>
        <w:t>Hume (2009) Researching the gendered silences of violence in El Salvador. IDS Bulletin, 40 (3). pp. 78-85.</w:t>
      </w:r>
    </w:p>
    <w:p w:rsidR="00B83084" w:rsidRDefault="00B83084" w:rsidP="00B83084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B83084">
        <w:rPr>
          <w:rFonts w:ascii="Cambria" w:hAnsi="Cambria" w:cs="Arial"/>
          <w:sz w:val="24"/>
          <w:szCs w:val="24"/>
        </w:rPr>
        <w:lastRenderedPageBreak/>
        <w:t>CHASE</w:t>
      </w:r>
      <w:r w:rsidR="006F714B">
        <w:rPr>
          <w:rFonts w:ascii="Cambria" w:hAnsi="Cambria" w:cs="Arial"/>
          <w:sz w:val="24"/>
          <w:szCs w:val="24"/>
        </w:rPr>
        <w:t xml:space="preserve"> (</w:t>
      </w:r>
      <w:r w:rsidRPr="00B83084">
        <w:rPr>
          <w:rFonts w:ascii="Cambria" w:hAnsi="Cambria" w:cs="Arial"/>
          <w:sz w:val="24"/>
          <w:szCs w:val="24"/>
        </w:rPr>
        <w:t>2012</w:t>
      </w:r>
      <w:r w:rsidR="006F714B">
        <w:rPr>
          <w:rFonts w:ascii="Cambria" w:hAnsi="Cambria" w:cs="Arial"/>
          <w:sz w:val="24"/>
          <w:szCs w:val="24"/>
        </w:rPr>
        <w:t>)</w:t>
      </w:r>
      <w:r w:rsidRPr="00B83084">
        <w:rPr>
          <w:rFonts w:ascii="Cambria" w:hAnsi="Cambria" w:cs="Arial"/>
          <w:sz w:val="24"/>
          <w:szCs w:val="24"/>
        </w:rPr>
        <w:t xml:space="preserve"> ‘A Practical Guide on Community Programming on Violence against Women and Girls’ CHASE Guidance Note Series https://www.gov.uk/government/uploads/system/uploads/attachment_data/file/2 64401/VAWG-guidance-chase.pdf </w:t>
      </w:r>
      <w:r w:rsidRPr="00B83084">
        <w:rPr>
          <w:rFonts w:ascii="Cambria" w:hAnsi="Cambria" w:cs="Arial"/>
          <w:sz w:val="24"/>
          <w:szCs w:val="24"/>
        </w:rPr>
        <w:t xml:space="preserve"> Institute for Inclusive Security, 2013, </w:t>
      </w:r>
    </w:p>
    <w:p w:rsidR="00B83084" w:rsidRPr="00B83084" w:rsidRDefault="00B83084" w:rsidP="00B83084">
      <w:pPr>
        <w:pStyle w:val="ListParagraph"/>
        <w:numPr>
          <w:ilvl w:val="0"/>
          <w:numId w:val="22"/>
        </w:numPr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B83084">
        <w:rPr>
          <w:rFonts w:ascii="Cambria" w:hAnsi="Cambria" w:cs="Arial"/>
          <w:sz w:val="24"/>
          <w:szCs w:val="24"/>
        </w:rPr>
        <w:t>WIIS, Women in International Security</w:t>
      </w:r>
      <w:r w:rsidR="006F714B">
        <w:rPr>
          <w:rFonts w:ascii="Cambria" w:hAnsi="Cambria" w:cs="Arial"/>
          <w:sz w:val="24"/>
          <w:szCs w:val="24"/>
        </w:rPr>
        <w:t xml:space="preserve"> (</w:t>
      </w:r>
      <w:r w:rsidRPr="00B83084">
        <w:rPr>
          <w:rFonts w:ascii="Cambria" w:hAnsi="Cambria" w:cs="Arial"/>
          <w:sz w:val="24"/>
          <w:szCs w:val="24"/>
        </w:rPr>
        <w:t>2014</w:t>
      </w:r>
      <w:r w:rsidR="006F714B">
        <w:rPr>
          <w:rFonts w:ascii="Cambria" w:hAnsi="Cambria" w:cs="Arial"/>
          <w:sz w:val="24"/>
          <w:szCs w:val="24"/>
        </w:rPr>
        <w:t>)</w:t>
      </w:r>
      <w:r w:rsidRPr="00B83084">
        <w:rPr>
          <w:rFonts w:ascii="Cambria" w:hAnsi="Cambria" w:cs="Arial"/>
          <w:sz w:val="24"/>
          <w:szCs w:val="24"/>
        </w:rPr>
        <w:t xml:space="preserve"> ‘Women, Peace and Security: Practical Guidance on Using Law to Empower Women in Post- Conflict Systems’, (p.74-81) http://www.wand.org/wp-content/uploads/2014/06/WPS-Toolkit-Electronic.pdf</w:t>
      </w:r>
    </w:p>
    <w:p w:rsidR="00D450A6" w:rsidRDefault="00D450A6" w:rsidP="00D450A6">
      <w:pPr>
        <w:pStyle w:val="ListParagraph"/>
        <w:numPr>
          <w:ilvl w:val="0"/>
          <w:numId w:val="22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D450A6">
        <w:rPr>
          <w:rFonts w:ascii="Cambria" w:hAnsi="Cambria" w:cs="Arial"/>
          <w:sz w:val="24"/>
          <w:szCs w:val="24"/>
        </w:rPr>
        <w:t xml:space="preserve">V. </w:t>
      </w:r>
      <w:r w:rsidR="00B83084" w:rsidRPr="00D450A6">
        <w:rPr>
          <w:rFonts w:ascii="Cambria" w:hAnsi="Cambria" w:cs="Arial"/>
          <w:sz w:val="24"/>
          <w:szCs w:val="24"/>
        </w:rPr>
        <w:t>Hudson</w:t>
      </w:r>
      <w:r w:rsidRPr="00D450A6">
        <w:rPr>
          <w:rFonts w:ascii="Cambria" w:hAnsi="Cambria" w:cs="Arial"/>
          <w:sz w:val="24"/>
          <w:szCs w:val="24"/>
        </w:rPr>
        <w:t xml:space="preserve"> and</w:t>
      </w:r>
      <w:r w:rsidR="00B83084" w:rsidRPr="00D450A6">
        <w:rPr>
          <w:rFonts w:ascii="Cambria" w:hAnsi="Cambria" w:cs="Arial"/>
          <w:sz w:val="24"/>
          <w:szCs w:val="24"/>
        </w:rPr>
        <w:t xml:space="preserve"> Den Boer, A. (2002) ‘A surplus of men, a deficit of peace: Security and sex ratios in Asia's largest states’, </w:t>
      </w:r>
      <w:r w:rsidR="00B83084" w:rsidRPr="006F714B">
        <w:rPr>
          <w:rFonts w:ascii="Cambria" w:hAnsi="Cambria" w:cs="Arial"/>
          <w:i/>
          <w:sz w:val="24"/>
          <w:szCs w:val="24"/>
        </w:rPr>
        <w:t>International Security</w:t>
      </w:r>
      <w:r w:rsidR="00B83084" w:rsidRPr="00D450A6">
        <w:rPr>
          <w:rFonts w:ascii="Cambria" w:hAnsi="Cambria" w:cs="Arial"/>
          <w:sz w:val="24"/>
          <w:szCs w:val="24"/>
        </w:rPr>
        <w:t xml:space="preserve">, Vol. 26, No. 4 (Spring)  </w:t>
      </w:r>
    </w:p>
    <w:p w:rsidR="00B83084" w:rsidRPr="00B83084" w:rsidRDefault="00D450A6" w:rsidP="00D450A6">
      <w:pPr>
        <w:pStyle w:val="ListParagraph"/>
        <w:numPr>
          <w:ilvl w:val="0"/>
          <w:numId w:val="22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J. </w:t>
      </w:r>
      <w:r w:rsidR="00B83084" w:rsidRPr="00D450A6">
        <w:rPr>
          <w:rFonts w:ascii="Cambria" w:hAnsi="Cambria" w:cs="Arial"/>
          <w:sz w:val="24"/>
          <w:szCs w:val="24"/>
        </w:rPr>
        <w:t xml:space="preserve">Prinz (2012) ‘Why are men so violent?’ </w:t>
      </w:r>
      <w:r w:rsidR="00B83084" w:rsidRPr="00D450A6">
        <w:rPr>
          <w:rFonts w:ascii="Cambria" w:hAnsi="Cambria" w:cs="Arial"/>
          <w:i/>
          <w:sz w:val="24"/>
          <w:szCs w:val="24"/>
        </w:rPr>
        <w:t>Psychology Today</w:t>
      </w:r>
      <w:r w:rsidR="00B83084" w:rsidRPr="00D450A6">
        <w:rPr>
          <w:rFonts w:ascii="Cambria" w:hAnsi="Cambria" w:cs="Arial"/>
          <w:sz w:val="24"/>
          <w:szCs w:val="24"/>
        </w:rPr>
        <w:t xml:space="preserve"> – the original Mcdonald, Navarette and van Vugt article referenced in the refutation is also a good read </w:t>
      </w:r>
    </w:p>
    <w:p w:rsidR="00D450A6" w:rsidRDefault="00B83084" w:rsidP="006F714B">
      <w:pPr>
        <w:pStyle w:val="ListParagraph"/>
        <w:numPr>
          <w:ilvl w:val="0"/>
          <w:numId w:val="22"/>
        </w:numPr>
        <w:tabs>
          <w:tab w:val="left" w:pos="284"/>
        </w:tabs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 w:rsidRPr="00D450A6">
        <w:rPr>
          <w:rFonts w:ascii="Cambria" w:hAnsi="Cambria" w:cs="Arial"/>
          <w:sz w:val="24"/>
          <w:szCs w:val="24"/>
        </w:rPr>
        <w:t xml:space="preserve">UNHCR (2012) ‘Working with men and boy survivors of sexual and gender-based violence in forced displacement’, Guide, http://www.refworld.org/pdfid/5006aa262.pdf  </w:t>
      </w:r>
    </w:p>
    <w:p w:rsidR="00D450A6" w:rsidRDefault="00D450A6" w:rsidP="00D450A6">
      <w:pPr>
        <w:pStyle w:val="ListParagraph"/>
        <w:numPr>
          <w:ilvl w:val="0"/>
          <w:numId w:val="22"/>
        </w:numPr>
        <w:tabs>
          <w:tab w:val="left" w:pos="284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R. T</w:t>
      </w:r>
      <w:r w:rsidR="00B83084" w:rsidRPr="00D450A6">
        <w:rPr>
          <w:rFonts w:ascii="Cambria" w:hAnsi="Cambria" w:cs="Arial"/>
          <w:sz w:val="24"/>
          <w:szCs w:val="24"/>
        </w:rPr>
        <w:t>insley</w:t>
      </w:r>
      <w:r>
        <w:rPr>
          <w:rFonts w:ascii="Cambria" w:hAnsi="Cambria" w:cs="Arial"/>
          <w:sz w:val="24"/>
          <w:szCs w:val="24"/>
        </w:rPr>
        <w:t xml:space="preserve"> (2</w:t>
      </w:r>
      <w:r w:rsidR="00B83084" w:rsidRPr="00D450A6">
        <w:rPr>
          <w:rFonts w:ascii="Cambria" w:hAnsi="Cambria" w:cs="Arial"/>
          <w:sz w:val="24"/>
          <w:szCs w:val="24"/>
        </w:rPr>
        <w:t>015</w:t>
      </w:r>
      <w:r>
        <w:rPr>
          <w:rFonts w:ascii="Cambria" w:hAnsi="Cambria" w:cs="Arial"/>
          <w:sz w:val="24"/>
          <w:szCs w:val="24"/>
        </w:rPr>
        <w:t>)</w:t>
      </w:r>
      <w:r w:rsidR="00B83084" w:rsidRPr="00D450A6">
        <w:rPr>
          <w:rFonts w:ascii="Cambria" w:hAnsi="Cambria" w:cs="Arial"/>
          <w:sz w:val="24"/>
          <w:szCs w:val="24"/>
        </w:rPr>
        <w:t xml:space="preserve"> ‘Africa’s Angry Young Men’, Foreign Policy http://foreignpolicy.com/2015/07/02/africas-angry-young-men/ </w:t>
      </w:r>
    </w:p>
    <w:p w:rsidR="00D450A6" w:rsidRDefault="00D450A6" w:rsidP="006F714B">
      <w:pPr>
        <w:pStyle w:val="ListParagraph"/>
        <w:numPr>
          <w:ilvl w:val="0"/>
          <w:numId w:val="22"/>
        </w:numPr>
        <w:tabs>
          <w:tab w:val="left" w:pos="284"/>
        </w:tabs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A. </w:t>
      </w:r>
      <w:r w:rsidR="00B83084" w:rsidRPr="00D450A6">
        <w:rPr>
          <w:rFonts w:ascii="Cambria" w:hAnsi="Cambria" w:cs="Arial"/>
          <w:sz w:val="24"/>
          <w:szCs w:val="24"/>
        </w:rPr>
        <w:t xml:space="preserve">Baird (2012) ‘The violent gang and the construction of masculinity amongst socially excluded young men’ Safer Communities </w:t>
      </w:r>
      <w:hyperlink r:id="rId32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http://www.emeraldinsight.com/doi/pdfplus/10.1108/17578041211271445</w:t>
        </w:r>
      </w:hyperlink>
      <w:r w:rsidR="00B83084" w:rsidRPr="00D450A6">
        <w:rPr>
          <w:rFonts w:ascii="Cambria" w:hAnsi="Cambria" w:cs="Arial"/>
          <w:sz w:val="24"/>
          <w:szCs w:val="24"/>
        </w:rPr>
        <w:t xml:space="preserve"> </w:t>
      </w:r>
    </w:p>
    <w:p w:rsidR="00B83084" w:rsidRDefault="00B83084" w:rsidP="006F714B">
      <w:pPr>
        <w:pStyle w:val="ListParagraph"/>
        <w:tabs>
          <w:tab w:val="left" w:pos="284"/>
        </w:tabs>
        <w:spacing w:after="0" w:line="280" w:lineRule="atLeast"/>
        <w:ind w:left="284"/>
        <w:jc w:val="both"/>
        <w:rPr>
          <w:rFonts w:ascii="Cambria" w:hAnsi="Cambria" w:cs="Arial"/>
          <w:sz w:val="24"/>
          <w:szCs w:val="24"/>
        </w:rPr>
      </w:pPr>
    </w:p>
    <w:p w:rsidR="00D450A6" w:rsidRDefault="00D450A6" w:rsidP="00D450A6">
      <w:pPr>
        <w:pStyle w:val="ListParagraph"/>
        <w:tabs>
          <w:tab w:val="left" w:pos="0"/>
        </w:tabs>
        <w:spacing w:after="0" w:line="280" w:lineRule="atLeast"/>
        <w:ind w:left="0"/>
        <w:jc w:val="both"/>
        <w:rPr>
          <w:rFonts w:ascii="Cambria" w:hAnsi="Cambria" w:cs="Arial"/>
          <w:b/>
          <w:i/>
          <w:sz w:val="24"/>
          <w:szCs w:val="24"/>
        </w:rPr>
      </w:pPr>
      <w:r w:rsidRPr="00D450A6">
        <w:rPr>
          <w:rFonts w:ascii="Cambria" w:hAnsi="Cambria" w:cs="Arial"/>
          <w:b/>
          <w:i/>
          <w:sz w:val="24"/>
          <w:szCs w:val="24"/>
        </w:rPr>
        <w:t>6 Violence</w:t>
      </w:r>
      <w:r>
        <w:rPr>
          <w:rFonts w:ascii="Cambria" w:hAnsi="Cambria" w:cs="Arial"/>
          <w:b/>
          <w:i/>
          <w:sz w:val="24"/>
          <w:szCs w:val="24"/>
        </w:rPr>
        <w:t xml:space="preserve">, </w:t>
      </w:r>
      <w:r w:rsidRPr="00D450A6">
        <w:rPr>
          <w:rFonts w:ascii="Cambria" w:hAnsi="Cambria" w:cs="Arial"/>
          <w:b/>
          <w:i/>
          <w:sz w:val="24"/>
          <w:szCs w:val="24"/>
        </w:rPr>
        <w:t>vulnerable groups</w:t>
      </w:r>
      <w:r>
        <w:rPr>
          <w:rFonts w:ascii="Cambria" w:hAnsi="Cambria" w:cs="Arial"/>
          <w:b/>
          <w:i/>
          <w:sz w:val="24"/>
          <w:szCs w:val="24"/>
        </w:rPr>
        <w:t xml:space="preserve"> and violence reduction</w:t>
      </w:r>
    </w:p>
    <w:p w:rsidR="006F714B" w:rsidRDefault="006F714B" w:rsidP="00D450A6">
      <w:pPr>
        <w:pStyle w:val="ListParagraph"/>
        <w:tabs>
          <w:tab w:val="left" w:pos="0"/>
        </w:tabs>
        <w:spacing w:after="0" w:line="280" w:lineRule="atLeast"/>
        <w:ind w:left="0"/>
        <w:jc w:val="both"/>
        <w:rPr>
          <w:rFonts w:ascii="Cambria" w:hAnsi="Cambria" w:cs="Arial"/>
          <w:b/>
          <w:i/>
          <w:sz w:val="24"/>
          <w:szCs w:val="24"/>
        </w:rPr>
      </w:pPr>
    </w:p>
    <w:p w:rsidR="00D450A6" w:rsidRPr="00D450A6" w:rsidRDefault="00D450A6" w:rsidP="00D450A6">
      <w:pPr>
        <w:pStyle w:val="ListParagraph"/>
        <w:tabs>
          <w:tab w:val="left" w:pos="0"/>
        </w:tabs>
        <w:spacing w:after="0" w:line="280" w:lineRule="atLeast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Why do certain groups continue to find themselves at sustained risk of violence</w:t>
      </w:r>
      <w:r w:rsidR="000D155C">
        <w:rPr>
          <w:rFonts w:ascii="Cambria" w:hAnsi="Cambria" w:cs="Arial"/>
          <w:sz w:val="24"/>
          <w:szCs w:val="24"/>
        </w:rPr>
        <w:t xml:space="preserve"> and hate crimes</w:t>
      </w:r>
      <w:r>
        <w:rPr>
          <w:rFonts w:ascii="Cambria" w:hAnsi="Cambria" w:cs="Arial"/>
          <w:sz w:val="24"/>
          <w:szCs w:val="24"/>
        </w:rPr>
        <w:t xml:space="preserve"> – despite in many cases living in ‘advanced’ democracies? What types of data and information do we need to better </w:t>
      </w:r>
      <w:r w:rsidR="000D155C">
        <w:rPr>
          <w:rFonts w:ascii="Cambria" w:hAnsi="Cambria" w:cs="Arial"/>
          <w:sz w:val="24"/>
          <w:szCs w:val="24"/>
        </w:rPr>
        <w:t xml:space="preserve">monitor and </w:t>
      </w:r>
      <w:r>
        <w:rPr>
          <w:rFonts w:ascii="Cambria" w:hAnsi="Cambria" w:cs="Arial"/>
          <w:sz w:val="24"/>
          <w:szCs w:val="24"/>
        </w:rPr>
        <w:t>understand the risk and types of violence experienced</w:t>
      </w:r>
      <w:r w:rsidR="000D155C">
        <w:rPr>
          <w:rFonts w:ascii="Cambria" w:hAnsi="Cambria" w:cs="Arial"/>
          <w:sz w:val="24"/>
          <w:szCs w:val="24"/>
        </w:rPr>
        <w:t xml:space="preserve">, </w:t>
      </w:r>
      <w:r>
        <w:rPr>
          <w:rFonts w:ascii="Cambria" w:hAnsi="Cambria" w:cs="Arial"/>
          <w:sz w:val="24"/>
          <w:szCs w:val="24"/>
        </w:rPr>
        <w:t>what kinds of strategies can enable violence reduction?</w:t>
      </w:r>
      <w:r w:rsidR="000D155C">
        <w:rPr>
          <w:rFonts w:ascii="Cambria" w:hAnsi="Cambria" w:cs="Arial"/>
          <w:sz w:val="24"/>
          <w:szCs w:val="24"/>
        </w:rPr>
        <w:t xml:space="preserve"> </w:t>
      </w:r>
    </w:p>
    <w:p w:rsidR="00D450A6" w:rsidRDefault="00D450A6" w:rsidP="00D450A6">
      <w:pPr>
        <w:pStyle w:val="ListParagraph"/>
        <w:tabs>
          <w:tab w:val="left" w:pos="0"/>
        </w:tabs>
        <w:spacing w:after="0" w:line="280" w:lineRule="atLeast"/>
        <w:ind w:left="0"/>
        <w:jc w:val="both"/>
        <w:rPr>
          <w:rFonts w:ascii="Cambria" w:hAnsi="Cambria" w:cs="Arial"/>
          <w:b/>
          <w:i/>
          <w:sz w:val="24"/>
          <w:szCs w:val="24"/>
        </w:rPr>
      </w:pPr>
    </w:p>
    <w:p w:rsidR="00D450A6" w:rsidRDefault="00D450A6" w:rsidP="00D450A6">
      <w:pPr>
        <w:pStyle w:val="ListParagraph"/>
        <w:numPr>
          <w:ilvl w:val="0"/>
          <w:numId w:val="1"/>
        </w:numPr>
        <w:spacing w:after="0" w:line="280" w:lineRule="atLeast"/>
        <w:ind w:left="284" w:hanging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Violence Prevention Alliance: </w:t>
      </w:r>
      <w:hyperlink r:id="rId33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http://www.who.int/violenceprevention/approach/definition/en/</w:t>
        </w:r>
      </w:hyperlink>
      <w:r>
        <w:rPr>
          <w:rFonts w:ascii="Cambria" w:hAnsi="Cambria" w:cs="Arial"/>
          <w:sz w:val="24"/>
          <w:szCs w:val="24"/>
        </w:rPr>
        <w:t xml:space="preserve"> and </w:t>
      </w:r>
      <w:hyperlink r:id="rId34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http://www.who.int/violenceprevention/publications/en/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:rsidR="00D450A6" w:rsidRDefault="00D450A6" w:rsidP="00D450A6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The Cambridge University 2014 conference on global violence reduction </w:t>
      </w:r>
      <w:hyperlink r:id="rId35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http://www.vrc.crim.cam.ac.uk/VRCconferences/conference/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:rsidR="00D450A6" w:rsidRDefault="006F714B" w:rsidP="006F714B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F714B">
        <w:rPr>
          <w:rFonts w:ascii="Cambria" w:hAnsi="Cambria" w:cs="Arial"/>
          <w:sz w:val="24"/>
          <w:szCs w:val="24"/>
        </w:rPr>
        <w:t xml:space="preserve">Human Rights Campaign (2009) Hate Crimes and Violence Against LGBTQ People </w:t>
      </w:r>
      <w:hyperlink r:id="rId36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http://www.hrc.org/resources/hate-crimes-and-violence-against-lgbt-people</w:t>
        </w:r>
      </w:hyperlink>
    </w:p>
    <w:p w:rsidR="006F714B" w:rsidRDefault="006F714B" w:rsidP="006F714B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F714B">
        <w:rPr>
          <w:rFonts w:ascii="Cambria" w:hAnsi="Cambria" w:cs="Arial"/>
          <w:sz w:val="24"/>
          <w:szCs w:val="24"/>
        </w:rPr>
        <w:t xml:space="preserve">ILGA Europe (2008) ‘Handbook on monitoring and reporting homophobic and transphobic incidents’ </w:t>
      </w:r>
      <w:hyperlink r:id="rId37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http://www.ilgaeurope.org/sites/default/files/Attachments/handbook_monitoring_reporting_homotransphobic_crimes.pdf</w:t>
        </w:r>
      </w:hyperlink>
    </w:p>
    <w:p w:rsidR="00EF4845" w:rsidRDefault="00EF4845" w:rsidP="00EF4845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Refugee Rights Data Project </w:t>
      </w:r>
      <w:hyperlink r:id="rId38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http://refugeerights.org.uk/</w:t>
        </w:r>
      </w:hyperlink>
    </w:p>
    <w:p w:rsidR="006F714B" w:rsidRDefault="006F714B" w:rsidP="00EF4845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6F714B">
        <w:rPr>
          <w:rFonts w:ascii="Cambria" w:hAnsi="Cambria" w:cs="Arial"/>
          <w:sz w:val="24"/>
          <w:szCs w:val="24"/>
        </w:rPr>
        <w:t xml:space="preserve">UNHCR (1999) Protecting Refugees: A Field Guide for NGOs – this is dated but important framing for the session </w:t>
      </w:r>
      <w:hyperlink r:id="rId39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http://www.unhcr.org/3bb9794e4.pdf</w:t>
        </w:r>
      </w:hyperlink>
    </w:p>
    <w:p w:rsidR="006F714B" w:rsidRDefault="006F714B" w:rsidP="006F714B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European Roma Rights Centre </w:t>
      </w:r>
      <w:hyperlink r:id="rId40" w:history="1">
        <w:r w:rsidRPr="00A57680">
          <w:rPr>
            <w:rStyle w:val="Hyperlink"/>
            <w:rFonts w:ascii="Cambria" w:hAnsi="Cambria" w:cs="Arial"/>
            <w:sz w:val="24"/>
            <w:szCs w:val="24"/>
          </w:rPr>
          <w:t>http://www.errc.org/article/violence-against-roma/3835</w:t>
        </w:r>
      </w:hyperlink>
    </w:p>
    <w:p w:rsidR="006F714B" w:rsidRDefault="006F714B" w:rsidP="00EF4845">
      <w:pPr>
        <w:pStyle w:val="ListParagraph"/>
        <w:numPr>
          <w:ilvl w:val="0"/>
          <w:numId w:val="1"/>
        </w:numPr>
        <w:tabs>
          <w:tab w:val="left" w:pos="0"/>
        </w:tabs>
        <w:spacing w:after="0" w:line="280" w:lineRule="atLeast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EF4845">
        <w:rPr>
          <w:rFonts w:ascii="Cambria" w:hAnsi="Cambria" w:cs="Arial"/>
          <w:sz w:val="24"/>
          <w:szCs w:val="24"/>
        </w:rPr>
        <w:t xml:space="preserve">Tell Mama – UK </w:t>
      </w:r>
      <w:hyperlink r:id="rId41" w:history="1">
        <w:r w:rsidRPr="00EF4845">
          <w:rPr>
            <w:rStyle w:val="Hyperlink"/>
            <w:rFonts w:ascii="Cambria" w:hAnsi="Cambria" w:cs="Arial"/>
            <w:sz w:val="24"/>
            <w:szCs w:val="24"/>
          </w:rPr>
          <w:t>https://tellmamauk.org/</w:t>
        </w:r>
      </w:hyperlink>
      <w:r w:rsidRPr="00EF4845">
        <w:rPr>
          <w:rFonts w:ascii="Cambria" w:hAnsi="Cambria" w:cs="Arial"/>
          <w:sz w:val="24"/>
          <w:szCs w:val="24"/>
        </w:rPr>
        <w:t xml:space="preserve"> </w:t>
      </w:r>
    </w:p>
    <w:sectPr w:rsidR="006F714B"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60" w:rsidRDefault="008C5360" w:rsidP="00EF4845">
      <w:pPr>
        <w:spacing w:after="0" w:line="240" w:lineRule="auto"/>
      </w:pPr>
      <w:r>
        <w:separator/>
      </w:r>
    </w:p>
  </w:endnote>
  <w:endnote w:type="continuationSeparator" w:id="0">
    <w:p w:rsidR="008C5360" w:rsidRDefault="008C5360" w:rsidP="00EF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614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845" w:rsidRDefault="00EF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845" w:rsidRDefault="00EF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60" w:rsidRDefault="008C5360" w:rsidP="00EF4845">
      <w:pPr>
        <w:spacing w:after="0" w:line="240" w:lineRule="auto"/>
      </w:pPr>
      <w:r>
        <w:separator/>
      </w:r>
    </w:p>
  </w:footnote>
  <w:footnote w:type="continuationSeparator" w:id="0">
    <w:p w:rsidR="008C5360" w:rsidRDefault="008C5360" w:rsidP="00EF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342"/>
    <w:multiLevelType w:val="hybridMultilevel"/>
    <w:tmpl w:val="43628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EE63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5F6"/>
    <w:multiLevelType w:val="hybridMultilevel"/>
    <w:tmpl w:val="C8E8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A77"/>
    <w:multiLevelType w:val="hybridMultilevel"/>
    <w:tmpl w:val="489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54F"/>
    <w:multiLevelType w:val="hybridMultilevel"/>
    <w:tmpl w:val="CC5A5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D32AD"/>
    <w:multiLevelType w:val="hybridMultilevel"/>
    <w:tmpl w:val="BE2C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0BD4"/>
    <w:multiLevelType w:val="hybridMultilevel"/>
    <w:tmpl w:val="22E8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4F90"/>
    <w:multiLevelType w:val="hybridMultilevel"/>
    <w:tmpl w:val="C10C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3B1"/>
    <w:multiLevelType w:val="hybridMultilevel"/>
    <w:tmpl w:val="D2EC3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43AE"/>
    <w:multiLevelType w:val="hybridMultilevel"/>
    <w:tmpl w:val="562E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2987"/>
    <w:multiLevelType w:val="hybridMultilevel"/>
    <w:tmpl w:val="CCDC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2687"/>
    <w:multiLevelType w:val="hybridMultilevel"/>
    <w:tmpl w:val="A0FA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0DE2"/>
    <w:multiLevelType w:val="hybridMultilevel"/>
    <w:tmpl w:val="AA1C72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44F18"/>
    <w:multiLevelType w:val="hybridMultilevel"/>
    <w:tmpl w:val="03E4C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A7F5E"/>
    <w:multiLevelType w:val="hybridMultilevel"/>
    <w:tmpl w:val="D4BA5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65394"/>
    <w:multiLevelType w:val="hybridMultilevel"/>
    <w:tmpl w:val="5C6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7510"/>
    <w:multiLevelType w:val="hybridMultilevel"/>
    <w:tmpl w:val="D63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87C75"/>
    <w:multiLevelType w:val="hybridMultilevel"/>
    <w:tmpl w:val="D23C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E142E"/>
    <w:multiLevelType w:val="hybridMultilevel"/>
    <w:tmpl w:val="D4AE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9423C"/>
    <w:multiLevelType w:val="hybridMultilevel"/>
    <w:tmpl w:val="8904E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1D75"/>
    <w:multiLevelType w:val="hybridMultilevel"/>
    <w:tmpl w:val="4F6C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12858"/>
    <w:multiLevelType w:val="hybridMultilevel"/>
    <w:tmpl w:val="ED16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164B0"/>
    <w:multiLevelType w:val="hybridMultilevel"/>
    <w:tmpl w:val="E42AC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17"/>
  </w:num>
  <w:num w:numId="12">
    <w:abstractNumId w:val="21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5"/>
  </w:num>
  <w:num w:numId="19">
    <w:abstractNumId w:val="12"/>
  </w:num>
  <w:num w:numId="20">
    <w:abstractNumId w:val="1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D8"/>
    <w:rsid w:val="00063DD6"/>
    <w:rsid w:val="00075579"/>
    <w:rsid w:val="000D155C"/>
    <w:rsid w:val="00100161"/>
    <w:rsid w:val="002A426D"/>
    <w:rsid w:val="00350863"/>
    <w:rsid w:val="003D7CD8"/>
    <w:rsid w:val="00484AB4"/>
    <w:rsid w:val="004B1215"/>
    <w:rsid w:val="004C6CF1"/>
    <w:rsid w:val="00551231"/>
    <w:rsid w:val="00565FDE"/>
    <w:rsid w:val="006C1292"/>
    <w:rsid w:val="006F6C4D"/>
    <w:rsid w:val="006F714B"/>
    <w:rsid w:val="007059FC"/>
    <w:rsid w:val="00715CCB"/>
    <w:rsid w:val="00740C1E"/>
    <w:rsid w:val="00767C22"/>
    <w:rsid w:val="008C5360"/>
    <w:rsid w:val="00902D24"/>
    <w:rsid w:val="009C4AF8"/>
    <w:rsid w:val="009D6A3D"/>
    <w:rsid w:val="009F1209"/>
    <w:rsid w:val="009F677C"/>
    <w:rsid w:val="00A150B0"/>
    <w:rsid w:val="00AC358B"/>
    <w:rsid w:val="00B21E50"/>
    <w:rsid w:val="00B43134"/>
    <w:rsid w:val="00B83084"/>
    <w:rsid w:val="00C80DBC"/>
    <w:rsid w:val="00D450A6"/>
    <w:rsid w:val="00E51EE1"/>
    <w:rsid w:val="00E76B6E"/>
    <w:rsid w:val="00E9790A"/>
    <w:rsid w:val="00ED4CB7"/>
    <w:rsid w:val="00EF4845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391FA-0CA4-41DB-85E3-C2B2D7F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1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2D24"/>
    <w:pPr>
      <w:ind w:left="720"/>
      <w:contextualSpacing/>
    </w:pPr>
  </w:style>
  <w:style w:type="character" w:customStyle="1" w:styleId="additionalfields">
    <w:name w:val="additionalfields"/>
    <w:basedOn w:val="DefaultParagraphFont"/>
    <w:rsid w:val="002A426D"/>
  </w:style>
  <w:style w:type="paragraph" w:customStyle="1" w:styleId="Hdhang1">
    <w:name w:val="Hdhang1"/>
    <w:rsid w:val="00B21E50"/>
    <w:pPr>
      <w:widowControl w:val="0"/>
      <w:spacing w:before="208" w:after="40" w:line="240" w:lineRule="auto"/>
      <w:ind w:left="720" w:hanging="720"/>
      <w:jc w:val="both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45"/>
  </w:style>
  <w:style w:type="paragraph" w:styleId="Footer">
    <w:name w:val="footer"/>
    <w:basedOn w:val="Normal"/>
    <w:link w:val="FooterChar"/>
    <w:uiPriority w:val="99"/>
    <w:unhideWhenUsed/>
    <w:rsid w:val="00EF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nnacampbell.com/wp-content/uploads/2015/09/Campbell-Ethics-Lit-Review-14-01-10-Cite-copy.pdf" TargetMode="External"/><Relationship Id="rId13" Type="http://schemas.openxmlformats.org/officeDocument/2006/relationships/hyperlink" Target="http://www.unhcr.org/556725e69.html" TargetMode="External"/><Relationship Id="rId18" Type="http://schemas.openxmlformats.org/officeDocument/2006/relationships/hyperlink" Target="http://www.foreignaffairs.com/articles/64457/james-habyarimana-macartan-humphreys-daniel-posner-jeremy-weinst/is-ethnic-conflict-inevitable?page=show" TargetMode="External"/><Relationship Id="rId26" Type="http://schemas.openxmlformats.org/officeDocument/2006/relationships/hyperlink" Target="http://bradfinder.brad.ac.uk/iii/encore/record/C__Rb1308244__Sdo%20no%20harm__P0%2C3__Orightresult__X3?lang=eng&amp;suite=cobalt" TargetMode="External"/><Relationship Id="rId39" Type="http://schemas.openxmlformats.org/officeDocument/2006/relationships/hyperlink" Target="http://www.unhcr.org/3bb9794e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80/00396338.2014.962803" TargetMode="External"/><Relationship Id="rId34" Type="http://schemas.openxmlformats.org/officeDocument/2006/relationships/hyperlink" Target="http://www.who.int/violenceprevention/publications/en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psr.org/assets/pdfs/body-count.pdf" TargetMode="External"/><Relationship Id="rId12" Type="http://schemas.openxmlformats.org/officeDocument/2006/relationships/hyperlink" Target="http://www.gsdrc.org/?sfid=47074&amp;s=violence&amp;_sft_gsdrc_pub_type=conflict-analyses" TargetMode="External"/><Relationship Id="rId17" Type="http://schemas.openxmlformats.org/officeDocument/2006/relationships/hyperlink" Target="https://www.wider.unu.edu/sites/default/files/dp2005-07.pdf" TargetMode="External"/><Relationship Id="rId25" Type="http://schemas.openxmlformats.org/officeDocument/2006/relationships/hyperlink" Target="http://bradfinder.brad.ac.uk/iii/encore/search/C__SAnderson%2C%20Mary%20B.__Orightresult?lang=eng&amp;suite=cobalt" TargetMode="External"/><Relationship Id="rId33" Type="http://schemas.openxmlformats.org/officeDocument/2006/relationships/hyperlink" Target="http://www.who.int/violenceprevention/approach/definition/en/" TargetMode="External"/><Relationship Id="rId38" Type="http://schemas.openxmlformats.org/officeDocument/2006/relationships/hyperlink" Target="http://refugeerights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jpr.sagepub.com/cgi/content/abstract/45/1/5" TargetMode="External"/><Relationship Id="rId20" Type="http://schemas.openxmlformats.org/officeDocument/2006/relationships/hyperlink" Target="http://www.theatlantic.com/international/archive/2014/11/is-religion-inherently-violent/382035/" TargetMode="External"/><Relationship Id="rId29" Type="http://schemas.openxmlformats.org/officeDocument/2006/relationships/hyperlink" Target="http://www.beyondintractability.org/essay/transformation/" TargetMode="External"/><Relationship Id="rId41" Type="http://schemas.openxmlformats.org/officeDocument/2006/relationships/hyperlink" Target="https://tellmamau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tcenter.org/topic/interviewing" TargetMode="External"/><Relationship Id="rId24" Type="http://schemas.openxmlformats.org/officeDocument/2006/relationships/hyperlink" Target="http://bradfinder.brad.ac.uk/iii/encore/record/C__Rb1302910__Sdo%20no%20harm__P0%2C1__Orightresult__X5?lang=eng&amp;suite=cobalt" TargetMode="External"/><Relationship Id="rId32" Type="http://schemas.openxmlformats.org/officeDocument/2006/relationships/hyperlink" Target="http://www.emeraldinsight.com/doi/pdfplus/10.1108/17578041211271445" TargetMode="External"/><Relationship Id="rId37" Type="http://schemas.openxmlformats.org/officeDocument/2006/relationships/hyperlink" Target="http://www.ilgaeurope.org/sites/default/files/Attachments/handbook_monitoring_reporting_homotransphobic_crimes.pdf" TargetMode="External"/><Relationship Id="rId40" Type="http://schemas.openxmlformats.org/officeDocument/2006/relationships/hyperlink" Target="http://www.errc.org/article/violence-against-roma/38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.int/violenceprevention/publications/en/" TargetMode="External"/><Relationship Id="rId23" Type="http://schemas.openxmlformats.org/officeDocument/2006/relationships/hyperlink" Target="http://dx.doi.org/10.1080/00263206.2013.850076" TargetMode="External"/><Relationship Id="rId28" Type="http://schemas.openxmlformats.org/officeDocument/2006/relationships/hyperlink" Target="http://www.conflictsensitivity.org/other_publication/conflict-analysis/" TargetMode="External"/><Relationship Id="rId36" Type="http://schemas.openxmlformats.org/officeDocument/2006/relationships/hyperlink" Target="http://www.hrc.org/resources/hate-crimes-and-violence-against-lgbt-people" TargetMode="External"/><Relationship Id="rId10" Type="http://schemas.openxmlformats.org/officeDocument/2006/relationships/hyperlink" Target="http://www.dartcenter.org/" TargetMode="External"/><Relationship Id="rId19" Type="http://schemas.openxmlformats.org/officeDocument/2006/relationships/hyperlink" Target="http://lib.leeds.ac.uk/search%7ES2?/tInternational+Security/tinternational+security/1,2,2,B/frameset&amp;FF=tinternational+security&amp;1,1," TargetMode="External"/><Relationship Id="rId31" Type="http://schemas.openxmlformats.org/officeDocument/2006/relationships/hyperlink" Target="http://www.gsdrc.org/topic-guides/gende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dvawnow.org/en/articles/174-ethical-considerations.html" TargetMode="External"/><Relationship Id="rId14" Type="http://schemas.openxmlformats.org/officeDocument/2006/relationships/hyperlink" Target="http://www.who.int/violenceprevention/approach/definition/en/" TargetMode="External"/><Relationship Id="rId22" Type="http://schemas.openxmlformats.org/officeDocument/2006/relationships/hyperlink" Target="http://dx.doi.org/10.1080/14781158.2014.924917" TargetMode="External"/><Relationship Id="rId27" Type="http://schemas.openxmlformats.org/officeDocument/2006/relationships/hyperlink" Target="http://cdacollaborative.org/publication/the-do-no-harm-framework-for-analyzing-the-impact-of-assistance-on-conflict-a-handbook/" TargetMode="External"/><Relationship Id="rId30" Type="http://schemas.openxmlformats.org/officeDocument/2006/relationships/hyperlink" Target="http://www.css.ethz.ch/content/dam/ethz/special-interest/gess/cis/center-for-securities-studies/pdfs/Conflict-Analysis-Tools.pdf" TargetMode="External"/><Relationship Id="rId35" Type="http://schemas.openxmlformats.org/officeDocument/2006/relationships/hyperlink" Target="http://www.vrc.crim.cam.ac.uk/VRCconferences/conferenc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Buxton</dc:creator>
  <cp:keywords/>
  <dc:description/>
  <cp:lastModifiedBy>Julia Buxton</cp:lastModifiedBy>
  <cp:revision>2</cp:revision>
  <dcterms:created xsi:type="dcterms:W3CDTF">2017-06-14T15:31:00Z</dcterms:created>
  <dcterms:modified xsi:type="dcterms:W3CDTF">2017-06-14T15:31:00Z</dcterms:modified>
</cp:coreProperties>
</file>