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57" w:rsidRPr="00905C12" w:rsidRDefault="002A0D57" w:rsidP="002A0D57">
      <w:pPr>
        <w:rPr>
          <w:b/>
        </w:rPr>
      </w:pPr>
      <w:r w:rsidRPr="00905C12">
        <w:rPr>
          <w:b/>
        </w:rPr>
        <w:t>M1. BASIC ALGEBRA 1</w:t>
      </w:r>
    </w:p>
    <w:p w:rsidR="002A0D57" w:rsidRDefault="002A0D57" w:rsidP="002A0D57">
      <w:pPr>
        <w:pStyle w:val="NormalWeb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Course coordinator: </w:t>
      </w:r>
      <w:r w:rsidRPr="00383A83">
        <w:rPr>
          <w:bCs/>
          <w:color w:val="000000"/>
        </w:rPr>
        <w:t xml:space="preserve">Pal </w:t>
      </w:r>
      <w:proofErr w:type="spellStart"/>
      <w:r w:rsidRPr="00383A83">
        <w:rPr>
          <w:bCs/>
          <w:color w:val="000000"/>
        </w:rPr>
        <w:t>Hegedus</w:t>
      </w:r>
      <w:proofErr w:type="spellEnd"/>
    </w:p>
    <w:p w:rsidR="002A0D57" w:rsidRDefault="002A0D57" w:rsidP="002A0D57">
      <w:pPr>
        <w:pStyle w:val="NormalWeb"/>
        <w:outlineLvl w:val="0"/>
        <w:rPr>
          <w:bCs/>
          <w:color w:val="000000"/>
        </w:rPr>
      </w:pPr>
      <w:r>
        <w:rPr>
          <w:b/>
          <w:bCs/>
          <w:color w:val="000000"/>
        </w:rPr>
        <w:t>No. of Credits:</w:t>
      </w:r>
      <w:r>
        <w:rPr>
          <w:rStyle w:val="apple-converted-space"/>
          <w:color w:val="000000"/>
        </w:rPr>
        <w:t> </w:t>
      </w:r>
      <w:r w:rsidRPr="007033CF">
        <w:rPr>
          <w:bCs/>
          <w:color w:val="000000"/>
        </w:rPr>
        <w:t>3</w:t>
      </w:r>
      <w:r w:rsidRPr="007033CF">
        <w:rPr>
          <w:color w:val="000000"/>
        </w:rPr>
        <w:t>, and no. of ECTS credits:</w:t>
      </w:r>
      <w:r w:rsidRPr="007033CF">
        <w:rPr>
          <w:rStyle w:val="apple-converted-space"/>
          <w:color w:val="000000"/>
        </w:rPr>
        <w:t> </w:t>
      </w:r>
      <w:r w:rsidRPr="007033CF">
        <w:rPr>
          <w:bCs/>
          <w:color w:val="000000"/>
        </w:rPr>
        <w:t>6</w:t>
      </w:r>
    </w:p>
    <w:p w:rsidR="002A0D57" w:rsidRDefault="002A0D57" w:rsidP="002A0D57">
      <w:pPr>
        <w:pStyle w:val="NormalWeb"/>
        <w:outlineLvl w:val="0"/>
        <w:rPr>
          <w:color w:val="000000"/>
          <w:sz w:val="27"/>
          <w:szCs w:val="27"/>
        </w:rPr>
      </w:pPr>
      <w:r w:rsidRPr="00477E82">
        <w:rPr>
          <w:b/>
        </w:rPr>
        <w:t>Time Period of the course</w:t>
      </w:r>
      <w:r w:rsidRPr="005F72A6">
        <w:t xml:space="preserve">: </w:t>
      </w:r>
      <w:r w:rsidRPr="005F72A6">
        <w:rPr>
          <w:bCs/>
        </w:rPr>
        <w:t>Fall Semester</w:t>
      </w:r>
    </w:p>
    <w:p w:rsidR="002A0D57" w:rsidRDefault="002A0D57" w:rsidP="002A0D57">
      <w:pPr>
        <w:pStyle w:val="NormalWeb"/>
        <w:outlineLvl w:val="0"/>
        <w:rPr>
          <w:color w:val="000000"/>
        </w:rPr>
      </w:pPr>
      <w:r>
        <w:rPr>
          <w:b/>
          <w:bCs/>
          <w:color w:val="000000"/>
        </w:rPr>
        <w:t>Prerequisites:</w:t>
      </w:r>
      <w:r>
        <w:rPr>
          <w:rStyle w:val="apple-converted-space"/>
          <w:b/>
          <w:bCs/>
          <w:color w:val="000000"/>
        </w:rPr>
        <w:t> </w:t>
      </w:r>
      <w:r w:rsidRPr="005F72A6">
        <w:rPr>
          <w:bCs/>
        </w:rPr>
        <w:t>linear algebra, introductory abstract algebra</w:t>
      </w:r>
    </w:p>
    <w:p w:rsidR="002A0D57" w:rsidRDefault="002A0D57" w:rsidP="002A0D57">
      <w:pPr>
        <w:pStyle w:val="NormalWeb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Course Level:</w:t>
      </w:r>
      <w:r>
        <w:rPr>
          <w:rStyle w:val="apple-converted-space"/>
          <w:color w:val="000000"/>
        </w:rPr>
        <w:t> introductory MS</w:t>
      </w:r>
      <w:r>
        <w:rPr>
          <w:color w:val="000000"/>
          <w:sz w:val="27"/>
          <w:szCs w:val="27"/>
        </w:rPr>
        <w:t> </w:t>
      </w:r>
    </w:p>
    <w:p w:rsidR="002A0D57" w:rsidRDefault="002A0D57" w:rsidP="002A0D57">
      <w:pPr>
        <w:pStyle w:val="NormalWeb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Brief introduction to the course:</w:t>
      </w:r>
    </w:p>
    <w:p w:rsidR="002A0D57" w:rsidRPr="005F72A6" w:rsidRDefault="002A0D57" w:rsidP="002A0D57">
      <w:pPr>
        <w:jc w:val="both"/>
        <w:rPr>
          <w:bCs/>
        </w:rPr>
      </w:pPr>
      <w:r w:rsidRPr="005F72A6">
        <w:rPr>
          <w:bCs/>
        </w:rPr>
        <w:t>Basic concepts and theorems are presente</w:t>
      </w:r>
      <w:r>
        <w:rPr>
          <w:bCs/>
        </w:rPr>
        <w:t>d. Emphasis is put on familiariz</w:t>
      </w:r>
      <w:r w:rsidRPr="005F72A6">
        <w:rPr>
          <w:bCs/>
        </w:rPr>
        <w:t>ing with the aims and methods of abstract algebra. Interconnectedness is underlined throughout. Applications are presented.</w:t>
      </w:r>
    </w:p>
    <w:p w:rsidR="002A0D57" w:rsidRDefault="002A0D57" w:rsidP="002A0D57">
      <w:pPr>
        <w:pStyle w:val="NormalWeb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The goals of the course:</w:t>
      </w:r>
    </w:p>
    <w:p w:rsidR="002A0D57" w:rsidRPr="005F72A6" w:rsidRDefault="002A0D57" w:rsidP="002A0D57">
      <w:pPr>
        <w:jc w:val="both"/>
        <w:rPr>
          <w:bCs/>
        </w:rPr>
      </w:pPr>
      <w:r w:rsidRPr="005F72A6">
        <w:rPr>
          <w:bCs/>
        </w:rPr>
        <w:t>One of the main goals of the course is to introduce students to the most important concepts and fundamental results in abstract algebra. A second goal is to let them move confidently between abstract and concrete phenomena.</w:t>
      </w:r>
    </w:p>
    <w:p w:rsidR="002A0D57" w:rsidRDefault="002A0D57" w:rsidP="002A0D57">
      <w:pPr>
        <w:pStyle w:val="NormalWeb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The learning outcomes of the course:</w:t>
      </w:r>
    </w:p>
    <w:p w:rsidR="002A0D57" w:rsidRPr="00DD2F4A" w:rsidRDefault="002A0D57" w:rsidP="002A0D57">
      <w:pPr>
        <w:jc w:val="both"/>
        <w:rPr>
          <w:rFonts w:eastAsia="TimesNewRomanPSMT"/>
        </w:rPr>
      </w:pPr>
      <w:r>
        <w:rPr>
          <w:rFonts w:eastAsia="TimesNewRomanPSMT"/>
        </w:rPr>
        <w:t>By the end of the course,</w:t>
      </w:r>
      <w:r w:rsidRPr="00DD2F4A">
        <w:rPr>
          <w:rFonts w:eastAsia="TimesNewRomanPSMT"/>
        </w:rPr>
        <w:t xml:space="preserve"> students </w:t>
      </w:r>
      <w:proofErr w:type="spellStart"/>
      <w:r>
        <w:rPr>
          <w:rFonts w:eastAsia="TimesNewRomanPSMT"/>
        </w:rPr>
        <w:t>areexperts</w:t>
      </w:r>
      <w:proofErr w:type="spellEnd"/>
      <w:r>
        <w:rPr>
          <w:rFonts w:eastAsia="TimesNewRomanPSMT"/>
        </w:rPr>
        <w:t xml:space="preserve"> on the topic</w:t>
      </w:r>
      <w:r w:rsidRPr="00DD2F4A">
        <w:rPr>
          <w:rFonts w:eastAsia="TimesNewRomanPSMT"/>
        </w:rPr>
        <w:t xml:space="preserve"> of the course</w:t>
      </w:r>
      <w:r>
        <w:rPr>
          <w:rFonts w:eastAsia="TimesNewRomanPSMT"/>
        </w:rPr>
        <w:t xml:space="preserve">, and </w:t>
      </w:r>
      <w:r>
        <w:rPr>
          <w:color w:val="000000"/>
        </w:rPr>
        <w:t>how to use these methods to solve specific problems</w:t>
      </w:r>
      <w:r w:rsidRPr="00DD2F4A">
        <w:rPr>
          <w:rFonts w:eastAsia="TimesNewRomanPSMT"/>
        </w:rPr>
        <w:t>. In addition, they develop some special expertise in the topics c</w:t>
      </w:r>
      <w:r>
        <w:rPr>
          <w:rFonts w:eastAsia="TimesNewRomanPSMT"/>
        </w:rPr>
        <w:t>overed, which they can use effic</w:t>
      </w:r>
      <w:r w:rsidRPr="00DD2F4A">
        <w:rPr>
          <w:rFonts w:eastAsia="TimesNewRomanPSMT"/>
        </w:rPr>
        <w:t>iently in other mathematical fields, and in applications, as well.</w:t>
      </w:r>
      <w:r>
        <w:rPr>
          <w:rFonts w:eastAsia="TimesNewRomanPSMT"/>
        </w:rPr>
        <w:t xml:space="preserve"> They also learn how the topic of the course is interconnected to various other fields in mathematics, and in science, in general. </w:t>
      </w:r>
    </w:p>
    <w:p w:rsidR="002A0D57" w:rsidRPr="005F72A6" w:rsidRDefault="002A0D57" w:rsidP="002A0D57">
      <w:pPr>
        <w:pStyle w:val="NormalWeb"/>
        <w:outlineLvl w:val="0"/>
      </w:pPr>
      <w:r>
        <w:rPr>
          <w:b/>
          <w:bCs/>
          <w:color w:val="000000"/>
        </w:rPr>
        <w:t>More detailed display of contents (week-by-week):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 </w:t>
      </w:r>
      <w:r w:rsidRPr="005F72A6">
        <w:tab/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proofErr w:type="spellStart"/>
      <w:r w:rsidRPr="005F72A6">
        <w:rPr>
          <w:rFonts w:ascii="CMR10" w:hAnsi="CMR10" w:cs="CMR10"/>
          <w:szCs w:val="22"/>
          <w:lang w:val="hu-HU" w:eastAsia="hu-HU"/>
        </w:rPr>
        <w:t>Groups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: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permutations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groups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,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orbit-stabilizer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theorem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,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cycle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notation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,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conjugation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,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conjugacy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classes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of S_n,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odd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>/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even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permutations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>,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proofErr w:type="spellStart"/>
      <w:r w:rsidRPr="005F72A6">
        <w:rPr>
          <w:rFonts w:ascii="CMR10" w:hAnsi="CMR10" w:cs="CMR10"/>
          <w:szCs w:val="22"/>
          <w:lang w:val="hu-HU" w:eastAsia="hu-HU"/>
        </w:rPr>
        <w:t>commutator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subgroup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, free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groups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,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geerators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and relations,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Dyck’s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theorem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>,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proofErr w:type="spellStart"/>
      <w:r w:rsidRPr="005F72A6">
        <w:rPr>
          <w:rFonts w:ascii="CMR10" w:hAnsi="CMR10" w:cs="CMR10"/>
          <w:szCs w:val="22"/>
          <w:lang w:val="hu-HU" w:eastAsia="hu-HU"/>
        </w:rPr>
        <w:t>solvable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and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simple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groups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,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simplicity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of A_n,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classical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linear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Cs w:val="22"/>
          <w:lang w:val="hu-HU" w:eastAsia="hu-HU"/>
        </w:rPr>
        <w:t>groups</w:t>
      </w:r>
      <w:proofErr w:type="spellEnd"/>
      <w:r w:rsidRPr="005F72A6">
        <w:rPr>
          <w:rFonts w:ascii="CMR10" w:hAnsi="CMR10" w:cs="CMR10"/>
          <w:szCs w:val="22"/>
          <w:lang w:val="hu-HU" w:eastAsia="hu-HU"/>
        </w:rPr>
        <w:t>,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r w:rsidRPr="005F72A6">
        <w:t xml:space="preserve">Polynomials: Euclidean Algorithm, uniqueness of </w:t>
      </w:r>
      <w:proofErr w:type="spellStart"/>
      <w:r w:rsidRPr="005F72A6">
        <w:t>factorisati</w:t>
      </w:r>
      <w:r>
        <w:t>o</w:t>
      </w:r>
      <w:r w:rsidRPr="005F72A6">
        <w:t>n</w:t>
      </w:r>
      <w:proofErr w:type="spellEnd"/>
      <w:r w:rsidRPr="005F72A6">
        <w:t xml:space="preserve">, Gauss Lemma, </w:t>
      </w:r>
      <w:proofErr w:type="spellStart"/>
      <w:r w:rsidRPr="005F72A6">
        <w:t>cyclotomic</w:t>
      </w:r>
      <w:proofErr w:type="spellEnd"/>
      <w:r w:rsidRPr="005F72A6">
        <w:t xml:space="preserve"> polynomials,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r w:rsidRPr="005F72A6">
        <w:t>polynomials in several variables, homogeneous polynomials, symmetric polynomials, formal power series, Newton's Formulas,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Sturm’s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Theorem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on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the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number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of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real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roots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of a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polynomial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with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real</w:t>
      </w:r>
      <w:proofErr w:type="spellEnd"/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 </w:t>
      </w: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coefficients</w:t>
      </w:r>
      <w:proofErr w:type="spellEnd"/>
      <w:r w:rsidRPr="005F72A6">
        <w:t xml:space="preserve">. 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r w:rsidRPr="005F72A6">
        <w:t xml:space="preserve">Rings and modules: simplicity of matrix rings, quaternions, </w:t>
      </w:r>
      <w:proofErr w:type="spellStart"/>
      <w:r w:rsidRPr="005F72A6">
        <w:t>Frobenius</w:t>
      </w:r>
      <w:proofErr w:type="spellEnd"/>
      <w:r w:rsidRPr="005F72A6">
        <w:t xml:space="preserve"> Theorem,  </w:t>
      </w:r>
      <w:proofErr w:type="spellStart"/>
      <w:r w:rsidRPr="005F72A6">
        <w:t>Wedderburn’s</w:t>
      </w:r>
      <w:proofErr w:type="spellEnd"/>
      <w:r w:rsidRPr="005F72A6">
        <w:t xml:space="preserve"> Theorem,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proofErr w:type="spellStart"/>
      <w:r w:rsidRPr="005F72A6">
        <w:t>submodules</w:t>
      </w:r>
      <w:proofErr w:type="spellEnd"/>
      <w:r w:rsidRPr="005F72A6">
        <w:t xml:space="preserve">, </w:t>
      </w:r>
      <w:proofErr w:type="spellStart"/>
      <w:r w:rsidRPr="005F72A6">
        <w:t>homomorphisms</w:t>
      </w:r>
      <w:proofErr w:type="spellEnd"/>
      <w:r w:rsidRPr="005F72A6">
        <w:t>, direct sums of modules, free modules,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proofErr w:type="gramStart"/>
      <w:r w:rsidRPr="005F72A6">
        <w:lastRenderedPageBreak/>
        <w:t>chain</w:t>
      </w:r>
      <w:proofErr w:type="gramEnd"/>
      <w:r w:rsidRPr="005F72A6">
        <w:t xml:space="preserve"> conditions, composition series.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r w:rsidRPr="005F72A6">
        <w:t xml:space="preserve">Partially ordered sets and lattices: </w:t>
      </w:r>
      <w:proofErr w:type="spellStart"/>
      <w:r w:rsidRPr="005F72A6">
        <w:t>Hasse</w:t>
      </w:r>
      <w:proofErr w:type="spellEnd"/>
      <w:r w:rsidRPr="005F72A6">
        <w:t xml:space="preserve">-diagram, chain conditions, Zorn Lemma, lattices as </w:t>
      </w:r>
      <w:proofErr w:type="spellStart"/>
      <w:r w:rsidRPr="005F72A6">
        <w:t>posets</w:t>
      </w:r>
      <w:proofErr w:type="spellEnd"/>
      <w:r w:rsidRPr="005F72A6">
        <w:t xml:space="preserve"> and as algebraic structures,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proofErr w:type="gramStart"/>
      <w:r w:rsidRPr="005F72A6">
        <w:t>modular</w:t>
      </w:r>
      <w:proofErr w:type="gramEnd"/>
      <w:r w:rsidRPr="005F72A6">
        <w:t xml:space="preserve"> and distributive lattices, modularity of the lattice of normal subgroups, Boolean algebras, Stone Representation Theorem. </w:t>
      </w:r>
    </w:p>
    <w:p w:rsidR="002A0D57" w:rsidRPr="005F72A6" w:rsidRDefault="002A0D57" w:rsidP="002A0D57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szCs w:val="22"/>
          <w:lang w:val="hu-HU" w:eastAsia="hu-HU"/>
        </w:rPr>
      </w:pPr>
      <w:r w:rsidRPr="005F72A6">
        <w:t xml:space="preserve">Universal algebra: </w:t>
      </w:r>
      <w:proofErr w:type="spellStart"/>
      <w:r w:rsidRPr="005F72A6">
        <w:t>subalgebras</w:t>
      </w:r>
      <w:proofErr w:type="spellEnd"/>
      <w:r w:rsidRPr="005F72A6">
        <w:t xml:space="preserve">, </w:t>
      </w:r>
      <w:proofErr w:type="spellStart"/>
      <w:r w:rsidRPr="005F72A6">
        <w:t>homomorphisms</w:t>
      </w:r>
      <w:proofErr w:type="spellEnd"/>
      <w:r w:rsidRPr="005F72A6">
        <w:t xml:space="preserve">, direct products, varieties, </w:t>
      </w:r>
      <w:proofErr w:type="spellStart"/>
      <w:r w:rsidRPr="005F72A6">
        <w:t>Birkhoff</w:t>
      </w:r>
      <w:proofErr w:type="spellEnd"/>
      <w:r w:rsidRPr="005F72A6">
        <w:t xml:space="preserve"> Theorem.</w:t>
      </w:r>
    </w:p>
    <w:p w:rsidR="002A0D57" w:rsidRPr="005F72A6" w:rsidRDefault="002A0D57" w:rsidP="002A0D57"/>
    <w:p w:rsidR="002A0D57" w:rsidRPr="005F72A6" w:rsidRDefault="002A0D57" w:rsidP="002A0D57">
      <w:r w:rsidRPr="005F72A6">
        <w:t>Optional topics:</w:t>
      </w:r>
    </w:p>
    <w:p w:rsidR="002A0D57" w:rsidRPr="005F72A6" w:rsidRDefault="002A0D57" w:rsidP="002A0D57"/>
    <w:p w:rsidR="002A0D57" w:rsidRPr="00F109AB" w:rsidRDefault="002A0D57" w:rsidP="002A0D57">
      <w:pPr>
        <w:autoSpaceDE w:val="0"/>
        <w:autoSpaceDN w:val="0"/>
        <w:adjustRightInd w:val="0"/>
        <w:ind w:left="360"/>
        <w:rPr>
          <w:color w:val="000000"/>
        </w:rPr>
      </w:pPr>
      <w:proofErr w:type="spellStart"/>
      <w:r w:rsidRPr="005F72A6">
        <w:rPr>
          <w:rFonts w:ascii="CMR10" w:hAnsi="CMR10" w:cs="CMR10"/>
          <w:sz w:val="22"/>
          <w:szCs w:val="22"/>
          <w:lang w:val="hu-HU" w:eastAsia="hu-HU"/>
        </w:rPr>
        <w:t>Resultants</w:t>
      </w:r>
      <w:proofErr w:type="spellEnd"/>
      <w:r w:rsidRPr="005F72A6">
        <w:t>, polynomials in non-commuting variables</w:t>
      </w:r>
      <w:r w:rsidRPr="005F72A6">
        <w:rPr>
          <w:rFonts w:ascii="CMR10" w:hAnsi="CMR10" w:cs="CMR10"/>
          <w:sz w:val="22"/>
          <w:szCs w:val="22"/>
          <w:lang w:val="hu-HU" w:eastAsia="hu-HU"/>
        </w:rPr>
        <w:t xml:space="preserve">, </w:t>
      </w:r>
      <w:r w:rsidRPr="005F72A6">
        <w:t xml:space="preserve">twisted polynomials, </w:t>
      </w:r>
      <w:proofErr w:type="spellStart"/>
      <w:r w:rsidRPr="005F72A6">
        <w:t>subdirect</w:t>
      </w:r>
      <w:proofErr w:type="spellEnd"/>
      <w:r w:rsidRPr="005F72A6">
        <w:t xml:space="preserve"> products, </w:t>
      </w:r>
      <w:proofErr w:type="spellStart"/>
      <w:r w:rsidRPr="005F72A6">
        <w:t>subdirectly</w:t>
      </w:r>
      <w:proofErr w:type="spellEnd"/>
      <w:r w:rsidRPr="005F72A6">
        <w:t xml:space="preserve"> irreducible algebras, </w:t>
      </w:r>
      <w:proofErr w:type="spellStart"/>
      <w:r w:rsidRPr="005F72A6">
        <w:t>subdirect</w:t>
      </w:r>
      <w:proofErr w:type="spellEnd"/>
      <w:r w:rsidRPr="005F72A6">
        <w:t xml:space="preserve"> representation. Categorical approach: products, </w:t>
      </w:r>
      <w:proofErr w:type="spellStart"/>
      <w:r w:rsidRPr="005F72A6">
        <w:t>coproducts</w:t>
      </w:r>
      <w:proofErr w:type="spellEnd"/>
      <w:r w:rsidRPr="005F72A6">
        <w:t xml:space="preserve">, pullback, </w:t>
      </w:r>
      <w:proofErr w:type="spellStart"/>
      <w:r w:rsidRPr="005F72A6">
        <w:t>pushout</w:t>
      </w:r>
      <w:proofErr w:type="spellEnd"/>
      <w:r w:rsidRPr="005F72A6">
        <w:t xml:space="preserve">, </w:t>
      </w:r>
      <w:proofErr w:type="spellStart"/>
      <w:r w:rsidRPr="005F72A6">
        <w:t>functor</w:t>
      </w:r>
      <w:proofErr w:type="spellEnd"/>
      <w:r w:rsidRPr="005F72A6">
        <w:t xml:space="preserve"> categories, natural transformations, </w:t>
      </w:r>
      <w:proofErr w:type="spellStart"/>
      <w:r w:rsidRPr="005F72A6">
        <w:t>Yoneda</w:t>
      </w:r>
      <w:proofErr w:type="spellEnd"/>
      <w:r w:rsidRPr="005F72A6">
        <w:t xml:space="preserve"> lemma, </w:t>
      </w:r>
      <w:proofErr w:type="spellStart"/>
      <w:r w:rsidRPr="005F72A6">
        <w:t>adjointfunctors</w:t>
      </w:r>
      <w:proofErr w:type="spellEnd"/>
      <w:r w:rsidRPr="005F72A6">
        <w:t>.</w:t>
      </w:r>
    </w:p>
    <w:p w:rsidR="002A0D57" w:rsidRDefault="002A0D57" w:rsidP="002A0D57">
      <w:pPr>
        <w:rPr>
          <w:bCs/>
        </w:rPr>
      </w:pPr>
    </w:p>
    <w:p w:rsidR="002A0D57" w:rsidRPr="005F72A6" w:rsidRDefault="002A0D57" w:rsidP="002A0D57">
      <w:pPr>
        <w:rPr>
          <w:bCs/>
        </w:rPr>
      </w:pPr>
      <w:r w:rsidRPr="00210799">
        <w:rPr>
          <w:b/>
          <w:bCs/>
        </w:rPr>
        <w:t>References</w:t>
      </w:r>
      <w:r w:rsidRPr="005F72A6">
        <w:rPr>
          <w:bCs/>
        </w:rPr>
        <w:t xml:space="preserve">: </w:t>
      </w:r>
    </w:p>
    <w:p w:rsidR="002A0D57" w:rsidRPr="005F72A6" w:rsidRDefault="002A0D57" w:rsidP="002A0D57">
      <w:pPr>
        <w:rPr>
          <w:bCs/>
        </w:rPr>
      </w:pPr>
      <w:r>
        <w:rPr>
          <w:bCs/>
        </w:rPr>
        <w:t>1</w:t>
      </w:r>
      <w:r w:rsidRPr="005F72A6">
        <w:rPr>
          <w:bCs/>
        </w:rPr>
        <w:t>. P J Cameron, Introduction to Algebra, Oxford University Press, Oxford, 2008.</w:t>
      </w:r>
    </w:p>
    <w:p w:rsidR="002A0D57" w:rsidRPr="005F72A6" w:rsidRDefault="002A0D57" w:rsidP="002A0D57">
      <w:pPr>
        <w:rPr>
          <w:color w:val="000000"/>
          <w:lang w:val="fr-FR"/>
        </w:rPr>
      </w:pPr>
      <w:r>
        <w:rPr>
          <w:color w:val="000000"/>
          <w:lang w:val="fr-FR"/>
        </w:rPr>
        <w:t>2</w:t>
      </w:r>
      <w:r w:rsidRPr="005F72A6">
        <w:rPr>
          <w:color w:val="000000"/>
          <w:lang w:val="fr-FR"/>
        </w:rPr>
        <w:t xml:space="preserve">. N Jacobson, Basic </w:t>
      </w:r>
      <w:proofErr w:type="spellStart"/>
      <w:r w:rsidRPr="005F72A6">
        <w:rPr>
          <w:color w:val="000000"/>
          <w:lang w:val="fr-FR"/>
        </w:rPr>
        <w:t>Algebra</w:t>
      </w:r>
      <w:proofErr w:type="spellEnd"/>
      <w:r w:rsidRPr="005F72A6">
        <w:rPr>
          <w:color w:val="000000"/>
          <w:lang w:val="fr-FR"/>
        </w:rPr>
        <w:t xml:space="preserve"> I-II, WH Freeman and Co., San Francisco, 1974/1980.</w:t>
      </w:r>
    </w:p>
    <w:p w:rsidR="002A0D57" w:rsidRPr="005F72A6" w:rsidRDefault="002A0D57" w:rsidP="002A0D57">
      <w:pPr>
        <w:rPr>
          <w:bCs/>
        </w:rPr>
      </w:pPr>
      <w:r>
        <w:t>3</w:t>
      </w:r>
      <w:r w:rsidRPr="005F72A6">
        <w:t>. I M Isaacs, Algebra, a graduate course, Brooks/Cole Publishing Company, Pacific Grove, 1994</w:t>
      </w:r>
    </w:p>
    <w:p w:rsidR="00F92DA8" w:rsidRDefault="00F92DA8">
      <w:bookmarkStart w:id="0" w:name="_GoBack"/>
      <w:bookmarkEnd w:id="0"/>
    </w:p>
    <w:sectPr w:rsidR="00F9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822A9"/>
    <w:multiLevelType w:val="hybridMultilevel"/>
    <w:tmpl w:val="652A9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7"/>
    <w:rsid w:val="002A0D57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6A4BF-9E60-4055-A621-7551EDD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D5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A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2014-07-16T07:59:00Z</dcterms:created>
  <dcterms:modified xsi:type="dcterms:W3CDTF">2014-07-16T07:59:00Z</dcterms:modified>
</cp:coreProperties>
</file>